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eastAsia="zh-CN"/>
        </w:rPr>
        <w:t>公共</w:t>
      </w:r>
      <w:bookmarkStart w:id="59" w:name="_GoBack"/>
      <w:bookmarkEnd w:id="59"/>
      <w:r>
        <w:rPr>
          <w:rFonts w:hint="eastAsia" w:ascii="宋体" w:hAnsi="宋体"/>
          <w:bCs/>
          <w:sz w:val="44"/>
          <w:szCs w:val="44"/>
          <w:lang w:val="en-US"/>
        </w:rPr>
        <w:t>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2025年3月12日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T15335539870</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_Toc22515 </w:instrText>
      </w:r>
      <w:r>
        <w:rPr>
          <w:rFonts w:ascii="宋体" w:hAnsi="宋体"/>
          <w:caps/>
        </w:rPr>
        <w:fldChar w:fldCharType="separate"/>
      </w:r>
      <w:r>
        <w:t xml:space="preserve">1 </w:t>
      </w:r>
      <w:r>
        <w:rPr>
          <w:rFonts w:hint="eastAsia"/>
        </w:rPr>
        <w:t>建筑概况</w:t>
      </w:r>
      <w:r>
        <w:tab/>
      </w:r>
      <w:r>
        <w:fldChar w:fldCharType="begin"/>
      </w:r>
      <w:r>
        <w:instrText xml:space="preserve"> PAGEREF _Toc22515 \h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_Toc29580 </w:instrText>
      </w:r>
      <w:r>
        <w:fldChar w:fldCharType="separate"/>
      </w:r>
      <w:r>
        <w:t xml:space="preserve">2 </w:t>
      </w:r>
      <w:r>
        <w:rPr>
          <w:rFonts w:hint="eastAsia"/>
        </w:rPr>
        <w:t>评价依据</w:t>
      </w:r>
      <w:r>
        <w:tab/>
      </w:r>
      <w:r>
        <w:fldChar w:fldCharType="begin"/>
      </w:r>
      <w:r>
        <w:instrText xml:space="preserve"> PAGEREF _Toc29580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_Toc23732 </w:instrText>
      </w:r>
      <w:r>
        <w:fldChar w:fldCharType="separate"/>
      </w:r>
      <w:r>
        <w:t xml:space="preserve">3 </w:t>
      </w:r>
      <w:r>
        <w:rPr>
          <w:rFonts w:hint="eastAsia"/>
        </w:rPr>
        <w:t>标准</w:t>
      </w:r>
      <w:r>
        <w:t>要求</w:t>
      </w:r>
      <w:r>
        <w:tab/>
      </w:r>
      <w:r>
        <w:fldChar w:fldCharType="begin"/>
      </w:r>
      <w:r>
        <w:instrText xml:space="preserve"> PAGEREF _Toc23732 \h </w:instrText>
      </w:r>
      <w:r>
        <w:fldChar w:fldCharType="separate"/>
      </w:r>
      <w:r>
        <w:t>2</w:t>
      </w:r>
      <w:r>
        <w:fldChar w:fldCharType="end"/>
      </w:r>
      <w:r>
        <w:fldChar w:fldCharType="end"/>
      </w:r>
    </w:p>
    <w:p>
      <w:pPr>
        <w:pStyle w:val="18"/>
        <w:tabs>
          <w:tab w:val="right" w:leader="dot" w:pos="9070"/>
          <w:tab w:val="clear" w:pos="180"/>
          <w:tab w:val="clear" w:pos="9360"/>
        </w:tabs>
      </w:pPr>
      <w:r>
        <w:fldChar w:fldCharType="begin"/>
      </w:r>
      <w:r>
        <w:instrText xml:space="preserve"> HYPERLINK \l _Toc11670 </w:instrText>
      </w:r>
      <w:r>
        <w:fldChar w:fldCharType="separate"/>
      </w:r>
      <w:r>
        <w:rPr>
          <w:kern w:val="2"/>
        </w:rPr>
        <w:t xml:space="preserve">4 </w:t>
      </w:r>
      <w:r>
        <w:rPr>
          <w:rFonts w:hint="eastAsia"/>
          <w:kern w:val="2"/>
        </w:rPr>
        <w:t>隔声理论概述</w:t>
      </w:r>
      <w:r>
        <w:tab/>
      </w:r>
      <w:r>
        <w:fldChar w:fldCharType="begin"/>
      </w:r>
      <w:r>
        <w:instrText xml:space="preserve"> PAGEREF _Toc11670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_Toc5460 </w:instrText>
      </w:r>
      <w:r>
        <w:fldChar w:fldCharType="separate"/>
      </w:r>
      <w:r>
        <w:t xml:space="preserve">4.1 </w:t>
      </w:r>
      <w:r>
        <w:rPr>
          <w:rFonts w:hint="eastAsia"/>
        </w:rPr>
        <w:t>原理概要</w:t>
      </w:r>
      <w:r>
        <w:tab/>
      </w:r>
      <w:r>
        <w:fldChar w:fldCharType="begin"/>
      </w:r>
      <w:r>
        <w:instrText xml:space="preserve"> PAGEREF _Toc5460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_Toc4251 </w:instrText>
      </w:r>
      <w:r>
        <w:fldChar w:fldCharType="separate"/>
      </w:r>
      <w:r>
        <w:t xml:space="preserve">4.2 </w:t>
      </w:r>
      <w:r>
        <w:rPr>
          <w:rFonts w:hint="eastAsia"/>
        </w:rPr>
        <w:t>质量定律</w:t>
      </w:r>
      <w:r>
        <w:tab/>
      </w:r>
      <w:r>
        <w:fldChar w:fldCharType="begin"/>
      </w:r>
      <w:r>
        <w:instrText xml:space="preserve"> PAGEREF _Toc4251 \h </w:instrText>
      </w:r>
      <w:r>
        <w:fldChar w:fldCharType="separate"/>
      </w:r>
      <w:r>
        <w:t>3</w:t>
      </w:r>
      <w:r>
        <w:fldChar w:fldCharType="end"/>
      </w:r>
      <w:r>
        <w:fldChar w:fldCharType="end"/>
      </w:r>
    </w:p>
    <w:p>
      <w:pPr>
        <w:pStyle w:val="20"/>
        <w:tabs>
          <w:tab w:val="right" w:leader="dot" w:pos="9070"/>
          <w:tab w:val="clear" w:pos="540"/>
          <w:tab w:val="clear" w:pos="9360"/>
        </w:tabs>
      </w:pPr>
      <w:r>
        <w:fldChar w:fldCharType="begin"/>
      </w:r>
      <w:r>
        <w:instrText xml:space="preserve"> HYPERLINK \l _Toc560 </w:instrText>
      </w:r>
      <w:r>
        <w:fldChar w:fldCharType="separate"/>
      </w:r>
      <w:r>
        <w:t>4.3 隔声</w:t>
      </w:r>
      <w:r>
        <w:rPr>
          <w:rFonts w:hint="eastAsia"/>
        </w:rPr>
        <w:t>量计算经验</w:t>
      </w:r>
      <w:r>
        <w:t>公式</w:t>
      </w:r>
      <w:r>
        <w:tab/>
      </w:r>
      <w:r>
        <w:fldChar w:fldCharType="begin"/>
      </w:r>
      <w:r>
        <w:instrText xml:space="preserve"> PAGEREF _Toc560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_Toc21090 </w:instrText>
      </w:r>
      <w:r>
        <w:fldChar w:fldCharType="separate"/>
      </w:r>
      <w:r>
        <w:t xml:space="preserve">4.4 </w:t>
      </w:r>
      <w:r>
        <w:rPr>
          <w:rFonts w:hint="eastAsia"/>
        </w:rPr>
        <w:t>单值评价量</w:t>
      </w:r>
      <w:r>
        <w:tab/>
      </w:r>
      <w:r>
        <w:fldChar w:fldCharType="begin"/>
      </w:r>
      <w:r>
        <w:instrText xml:space="preserve"> PAGEREF _Toc21090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_Toc17768 </w:instrText>
      </w:r>
      <w:r>
        <w:fldChar w:fldCharType="separate"/>
      </w:r>
      <w:r>
        <w:t xml:space="preserve">4.5 </w:t>
      </w:r>
      <w:r>
        <w:rPr>
          <w:rFonts w:hint="eastAsia"/>
        </w:rPr>
        <w:t>频谱修正量</w:t>
      </w:r>
      <w:r>
        <w:tab/>
      </w:r>
      <w:r>
        <w:fldChar w:fldCharType="begin"/>
      </w:r>
      <w:r>
        <w:instrText xml:space="preserve"> PAGEREF _Toc17768 \h </w:instrText>
      </w:r>
      <w:r>
        <w:fldChar w:fldCharType="separate"/>
      </w:r>
      <w:r>
        <w:t>6</w:t>
      </w:r>
      <w:r>
        <w:fldChar w:fldCharType="end"/>
      </w:r>
      <w:r>
        <w:fldChar w:fldCharType="end"/>
      </w:r>
    </w:p>
    <w:p>
      <w:pPr>
        <w:pStyle w:val="18"/>
        <w:tabs>
          <w:tab w:val="right" w:leader="dot" w:pos="9070"/>
          <w:tab w:val="clear" w:pos="180"/>
          <w:tab w:val="clear" w:pos="9360"/>
        </w:tabs>
      </w:pPr>
      <w:r>
        <w:fldChar w:fldCharType="begin"/>
      </w:r>
      <w:r>
        <w:instrText xml:space="preserve"> HYPERLINK \l _Toc2614 </w:instrText>
      </w:r>
      <w:r>
        <w:fldChar w:fldCharType="separate"/>
      </w:r>
      <w:r>
        <w:t xml:space="preserve">5 </w:t>
      </w:r>
      <w:r>
        <w:rPr>
          <w:rFonts w:hint="eastAsia"/>
        </w:rPr>
        <w:t>构件空气声隔声性能</w:t>
      </w:r>
      <w:r>
        <w:tab/>
      </w:r>
      <w:r>
        <w:fldChar w:fldCharType="begin"/>
      </w:r>
      <w:r>
        <w:instrText xml:space="preserve"> PAGEREF _Toc2614 \h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_Toc18457 </w:instrText>
      </w:r>
      <w:r>
        <w:fldChar w:fldCharType="separate"/>
      </w:r>
      <w:r>
        <w:t xml:space="preserve">5.1 </w:t>
      </w:r>
      <w:r>
        <w:rPr>
          <w:rFonts w:hint="eastAsia"/>
        </w:rPr>
        <w:t>墙板的空气声隔声量</w:t>
      </w:r>
      <w:r>
        <w:tab/>
      </w:r>
      <w:r>
        <w:fldChar w:fldCharType="begin"/>
      </w:r>
      <w:r>
        <w:instrText xml:space="preserve"> PAGEREF _Toc18457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_Toc30647 </w:instrText>
      </w:r>
      <w:r>
        <w:fldChar w:fldCharType="separate"/>
      </w:r>
      <w:r>
        <w:t xml:space="preserve">5.1.1 </w:t>
      </w:r>
      <w:r>
        <w:rPr>
          <w:rFonts w:hint="eastAsia"/>
        </w:rPr>
        <w:t>墙板构造做法</w:t>
      </w:r>
      <w:r>
        <w:tab/>
      </w:r>
      <w:r>
        <w:fldChar w:fldCharType="begin"/>
      </w:r>
      <w:r>
        <w:instrText xml:space="preserve"> PAGEREF _Toc30647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_Toc17018 </w:instrText>
      </w:r>
      <w:r>
        <w:fldChar w:fldCharType="separate"/>
      </w:r>
      <w:r>
        <w:t xml:space="preserve">5.1.2 </w:t>
      </w:r>
      <w:r>
        <w:rPr>
          <w:rFonts w:hint="eastAsia"/>
        </w:rPr>
        <w:t>墙板空气声隔声性能</w:t>
      </w:r>
      <w:r>
        <w:tab/>
      </w:r>
      <w:r>
        <w:fldChar w:fldCharType="begin"/>
      </w:r>
      <w:r>
        <w:instrText xml:space="preserve"> PAGEREF _Toc17018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_Toc21771 </w:instrText>
      </w:r>
      <w:r>
        <w:fldChar w:fldCharType="separate"/>
      </w:r>
      <w:r>
        <w:t xml:space="preserve">5.2 </w:t>
      </w:r>
      <w:r>
        <w:rPr>
          <w:rFonts w:hint="eastAsia"/>
        </w:rPr>
        <w:t>门窗的空气声隔声量</w:t>
      </w:r>
      <w:r>
        <w:tab/>
      </w:r>
      <w:r>
        <w:fldChar w:fldCharType="begin"/>
      </w:r>
      <w:r>
        <w:instrText xml:space="preserve"> PAGEREF _Toc21771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_Toc1463 </w:instrText>
      </w:r>
      <w:r>
        <w:fldChar w:fldCharType="separate"/>
      </w:r>
      <w:r>
        <w:t xml:space="preserve">6 </w:t>
      </w:r>
      <w:r>
        <w:rPr>
          <w:rFonts w:hint="eastAsia"/>
        </w:rPr>
        <w:t>楼板撞击声隔声性能</w:t>
      </w:r>
      <w:r>
        <w:tab/>
      </w:r>
      <w:r>
        <w:fldChar w:fldCharType="begin"/>
      </w:r>
      <w:r>
        <w:instrText xml:space="preserve"> PAGEREF _Toc1463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_Toc14282 </w:instrText>
      </w:r>
      <w:r>
        <w:fldChar w:fldCharType="separate"/>
      </w:r>
      <w:r>
        <w:rPr>
          <w:kern w:val="2"/>
        </w:rPr>
        <w:t xml:space="preserve">7 </w:t>
      </w:r>
      <w:r>
        <w:rPr>
          <w:rFonts w:hint="eastAsia"/>
          <w:kern w:val="2"/>
        </w:rPr>
        <w:t>结论</w:t>
      </w:r>
      <w:r>
        <w:tab/>
      </w:r>
      <w:r>
        <w:fldChar w:fldCharType="begin"/>
      </w:r>
      <w:r>
        <w:instrText xml:space="preserve"> PAGEREF _Toc14282 \h </w:instrText>
      </w:r>
      <w:r>
        <w:fldChar w:fldCharType="separate"/>
      </w:r>
      <w:r>
        <w:t>11</w:t>
      </w:r>
      <w:r>
        <w:fldChar w:fldCharType="end"/>
      </w:r>
      <w:r>
        <w:fldChar w:fldCharType="end"/>
      </w:r>
    </w:p>
    <w:p>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22515"/>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 xml:space="preserve">建筑面积 </w:t>
            </w:r>
            <w:r>
              <w:t>(m</w:t>
            </w:r>
            <w:r>
              <w:rPr>
                <w:vertAlign w:val="superscript"/>
              </w:rPr>
              <w:t>2</w:t>
            </w:r>
            <w:r>
              <w:t>)</w:t>
            </w:r>
          </w:p>
        </w:tc>
        <w:tc>
          <w:tcPr>
            <w:tcW w:w="6056" w:type="dxa"/>
          </w:tcPr>
          <w:p>
            <w:pPr>
              <w:pStyle w:val="3"/>
            </w:pPr>
            <w:r>
              <w:rPr>
                <w:rFonts w:hint="eastAsia"/>
              </w:rPr>
              <w:t xml:space="preserve">地上  </w:t>
            </w:r>
            <w:bookmarkStart w:id="13" w:name="地上建筑面积"/>
            <w:r>
              <w:t>886</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7.2</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28860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2886075"/>
                    </a:xfrm>
                    <a:prstGeom prst="rect">
                      <a:avLst/>
                    </a:prstGeom>
                  </pic:spPr>
                </pic:pic>
              </a:graphicData>
            </a:graphic>
          </wp:inline>
        </w:drawing>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29580"/>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23732"/>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pPr>
        <w:pStyle w:val="2"/>
        <w:ind w:left="669" w:hanging="669"/>
        <w:rPr>
          <w:kern w:val="2"/>
        </w:rPr>
      </w:pPr>
      <w:bookmarkStart w:id="24" w:name="_Toc11670"/>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5460"/>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ctrlPr>
                <w:rPr>
                  <w:rFonts w:ascii="Cambria Math" w:hAnsi="宋体"/>
                  <w:i/>
                </w:rPr>
              </m:ctrlPr>
            </m:fName>
            <m:e>
              <m:f>
                <m:fPr>
                  <m:ctrlPr>
                    <w:rPr>
                      <w:rFonts w:ascii="Cambria Math" w:hAnsi="宋体"/>
                      <w:i/>
                    </w:rPr>
                  </m:ctrlPr>
                </m:fPr>
                <m:num>
                  <m:r>
                    <w:rPr>
                      <w:rFonts w:ascii="Cambria Math" w:hAnsi="宋体"/>
                    </w:rPr>
                    <m:t>1</m:t>
                  </m:r>
                  <m:ctrlPr>
                    <w:rPr>
                      <w:rFonts w:ascii="Cambria Math" w:hAnsi="宋体"/>
                      <w:i/>
                    </w:rPr>
                  </m:ctrlPr>
                </m:num>
                <m:den>
                  <m:r>
                    <w:rPr>
                      <w:rFonts w:ascii="Cambria Math" w:hAnsi="宋体"/>
                    </w:rPr>
                    <m:t>τ</m:t>
                  </m:r>
                  <m:ctrlPr>
                    <w:rPr>
                      <w:rFonts w:ascii="Cambria Math" w:hAnsi="宋体"/>
                      <w:i/>
                    </w:rPr>
                  </m:ctrlPr>
                </m:den>
              </m:f>
              <m:ctrlPr>
                <w:rPr>
                  <w:rFonts w:ascii="Cambria Math" w:hAnsi="Cambria Math"/>
                  <w:i/>
                </w:rPr>
              </m:ctrlPr>
            </m:e>
          </m:func>
        </m:oMath>
      </m:oMathPara>
    </w:p>
    <w:p>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275877"/>
      <w:bookmarkStart w:id="28" w:name="_Toc503800668"/>
      <w:bookmarkStart w:id="29" w:name="_Toc503800603"/>
      <w:bookmarkStart w:id="30" w:name="_Toc4251"/>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spacing w:before="240"/>
        <w:ind w:right="420"/>
        <w:jc w:val="center"/>
        <w:rPr>
          <w:rFonts w:ascii="宋体" w:hAnsi="宋体"/>
        </w:rPr>
      </w:pPr>
      <m:oMathPara>
        <m:oMath>
          <m:sSub>
            <m:sSubPr>
              <m:ctrlPr>
                <w:rPr>
                  <w:rFonts w:ascii="Cambria Math" w:hAnsi="宋体"/>
                  <w:i/>
                </w:rPr>
              </m:ctrlPr>
            </m:sSubPr>
            <m:e>
              <m:r>
                <w:rPr>
                  <w:rFonts w:ascii="Cambria Math" w:hAnsi="宋体"/>
                </w:rPr>
                <m:t>R</m:t>
              </m:r>
              <m:ctrlPr>
                <w:rPr>
                  <w:rFonts w:ascii="Cambria Math" w:hAnsi="宋体"/>
                  <w:i/>
                </w:rPr>
              </m:ctrlPr>
            </m:e>
            <m:sub>
              <m:r>
                <w:rPr>
                  <w:rFonts w:ascii="Cambria Math" w:hAnsi="宋体"/>
                </w:rPr>
                <m:t>o</m:t>
              </m:r>
              <m:ctrlPr>
                <w:rPr>
                  <w:rFonts w:ascii="Cambria Math" w:hAnsi="宋体"/>
                  <w:i/>
                </w:rPr>
              </m:ctrlPr>
            </m:sub>
          </m:sSub>
          <m:r>
            <w:rPr>
              <w:rFonts w:ascii="Cambria Math" w:hAnsi="宋体"/>
            </w:rPr>
            <m:t>=10</m:t>
          </m:r>
          <m:func>
            <m:funcPr>
              <m:ctrlPr>
                <w:rPr>
                  <w:rFonts w:ascii="Cambria Math" w:hAnsi="宋体"/>
                  <w:i/>
                </w:rPr>
              </m:ctrlPr>
            </m:funcPr>
            <m:fName>
              <m:r>
                <w:rPr>
                  <w:rFonts w:ascii="Cambria Math" w:hAnsi="宋体"/>
                </w:rPr>
                <m:t>lg</m:t>
              </m:r>
              <m:ctrlPr>
                <w:rPr>
                  <w:rFonts w:ascii="Cambria Math" w:hAnsi="宋体"/>
                  <w:i/>
                </w:rPr>
              </m:ctrlP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ctrlPr>
                                <w:rPr>
                                  <w:rFonts w:ascii="Cambria Math" w:hAnsi="宋体"/>
                                  <w:i/>
                                </w:rPr>
                              </m:ctrlPr>
                            </m:num>
                            <m:den>
                              <m:sSub>
                                <m:sSubPr>
                                  <m:ctrlPr>
                                    <w:rPr>
                                      <w:rFonts w:ascii="Cambria Math" w:hAnsi="宋体"/>
                                      <w:i/>
                                    </w:rPr>
                                  </m:ctrlPr>
                                </m:sSubPr>
                                <m:e>
                                  <m:r>
                                    <w:rPr>
                                      <w:rFonts w:ascii="Cambria Math" w:hAnsi="宋体"/>
                                    </w:rPr>
                                    <m:t>ρ</m:t>
                                  </m:r>
                                  <m:ctrlPr>
                                    <w:rPr>
                                      <w:rFonts w:ascii="Cambria Math" w:hAnsi="宋体"/>
                                      <w:i/>
                                    </w:rPr>
                                  </m:ctrlPr>
                                </m:e>
                                <m:sub>
                                  <m:r>
                                    <w:rPr>
                                      <w:rFonts w:ascii="Cambria Math" w:hAnsi="宋体"/>
                                    </w:rPr>
                                    <m:t>o</m:t>
                                  </m:r>
                                  <m:ctrlPr>
                                    <w:rPr>
                                      <w:rFonts w:ascii="Cambria Math" w:hAnsi="宋体"/>
                                      <w:i/>
                                    </w:rPr>
                                  </m:ctrlPr>
                                </m:sub>
                              </m:sSub>
                              <m: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pPr>
        <w:pStyle w:val="3"/>
        <w:spacing w:before="240"/>
        <w:jc w:val="center"/>
      </w:pPr>
      <m:oMathPara>
        <m:oMath>
          <m:sSub>
            <m:sSubPr>
              <m:ctrlPr>
                <w:rPr>
                  <w:rFonts w:ascii="Cambria Math" w:hAnsi="Cambria Math"/>
                </w:rPr>
              </m:ctrlPr>
            </m:sSubPr>
            <m:e>
              <m:r>
                <w:rPr>
                  <w:rFonts w:ascii="Cambria Math" w:hAnsi="Cambria Math"/>
                </w:rPr>
                <m:t>R</m:t>
              </m:r>
              <m:ctrlPr>
                <w:rPr>
                  <w:rFonts w:ascii="Cambria Math" w:hAnsi="Cambria Math"/>
                </w:rPr>
              </m:ctrlPr>
            </m:e>
            <m:sub>
              <m:r>
                <w:rPr>
                  <w:rFonts w:ascii="Cambria Math" w:hAnsi="Cambria Math"/>
                </w:rPr>
                <m:t>o</m:t>
              </m:r>
              <m:ctrlPr>
                <w:rPr>
                  <w:rFonts w:ascii="Cambria Math" w:hAnsi="Cambria Math"/>
                </w:rPr>
              </m:ctrlP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ctrlPr>
                    <w:rPr>
                      <w:rFonts w:ascii="Cambria Math" w:hAnsi="Cambria Math"/>
                    </w:rPr>
                  </m:ctrlPr>
                </m:num>
                <m:den>
                  <m:sSub>
                    <m:sSubPr>
                      <m:ctrlPr>
                        <w:rPr>
                          <w:rFonts w:ascii="Cambria Math" w:hAnsi="Cambria Math"/>
                        </w:rPr>
                      </m:ctrlPr>
                    </m:sSubPr>
                    <m:e>
                      <m:r>
                        <w:rPr>
                          <w:rFonts w:ascii="Cambria Math" w:hAnsi="Cambria Math"/>
                        </w:rPr>
                        <m:t>ρ</m:t>
                      </m:r>
                      <m:ctrlPr>
                        <w:rPr>
                          <w:rFonts w:ascii="Cambria Math" w:hAnsi="Cambria Math"/>
                        </w:rPr>
                      </m:ctrlPr>
                    </m:e>
                    <m:sub>
                      <m:r>
                        <w:rPr>
                          <w:rFonts w:ascii="Cambria Math" w:hAnsi="Cambria Math"/>
                        </w:rPr>
                        <m:t>o</m:t>
                      </m:r>
                      <m:ctrlPr>
                        <w:rPr>
                          <w:rFonts w:ascii="Cambria Math" w:hAnsi="Cambria Math"/>
                        </w:rPr>
                      </m:ctrlPr>
                    </m:sub>
                  </m:sSub>
                  <m:r>
                    <w:rPr>
                      <w:rFonts w:ascii="Cambria Math" w:hAnsi="Cambria Math"/>
                    </w:rPr>
                    <m:t>c</m:t>
                  </m:r>
                  <m:ctrlPr>
                    <w:rPr>
                      <w:rFonts w:ascii="Cambria Math" w:hAnsi="Cambria Math"/>
                    </w:rPr>
                  </m:ctrlPr>
                </m:den>
              </m:f>
              <m:ctrlPr>
                <w:rPr>
                  <w:rFonts w:ascii="Cambria Math" w:hAnsi="Cambria Math"/>
                </w:rPr>
              </m:ctrlPr>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p>
    <w:p>
      <w:pPr>
        <w:jc w:val="center"/>
        <w:rPr>
          <w:rFonts w:ascii="宋体" w:hAnsi="宋体"/>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ctrlPr>
                <w:rPr>
                  <w:rFonts w:ascii="Cambria Math" w:hAnsi="Cambria Math"/>
                  <w:sz w:val="21"/>
                  <w:szCs w:val="21"/>
                </w:rPr>
              </m:ctrlPr>
            </m:e>
            <m:sub>
              <m:r>
                <w:rPr>
                  <w:rFonts w:ascii="Cambria Math" w:hAnsi="Cambria Math"/>
                  <w:sz w:val="21"/>
                  <w:szCs w:val="21"/>
                </w:rPr>
                <m:t>o</m:t>
              </m:r>
              <m:ctrlPr>
                <w:rPr>
                  <w:rFonts w:ascii="Cambria Math" w:hAnsi="Cambria Math"/>
                  <w:sz w:val="21"/>
                  <w:szCs w:val="21"/>
                </w:rPr>
              </m:ctrlP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560"/>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spacing w:before="240"/>
        <w:ind w:firstLine="420" w:firstLineChars="200"/>
        <w:jc w:val="cente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w:t>
      </w:r>
      <w:r>
        <w:rPr>
          <w:lang w:val="en-US"/>
        </w:rPr>
        <w:t xml:space="preserve"> </w:t>
      </w:r>
      <w:r>
        <w:rPr>
          <w:rFonts w:hint="eastAsia"/>
          <w:lang w:val="en-US"/>
        </w:rPr>
        <w:t>Hz隔声曲线</w:t>
      </w:r>
    </w:p>
    <w:p>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21090"/>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spacing w:before="240"/>
        <w:ind w:right="180"/>
        <w:jc w:val="center"/>
      </w:pPr>
      <m:oMathPara>
        <m:oMath>
          <m:eqArr>
            <m:eqArrPr>
              <m:ctrlPr>
                <w:rPr>
                  <w:rFonts w:ascii="Cambria Math" w:hAnsi="Cambria Math"/>
                </w:rPr>
              </m:ctrlPr>
            </m:eqArrPr>
            <m:e>
              <m:r>
                <w:rPr>
                  <w:rFonts w:ascii="Cambria Math" w:hAnsi="Cambria Math"/>
                </w:rPr>
                <m:t>&amp;</m:t>
              </m:r>
              <m:nary>
                <m:naryPr>
                  <m:chr m:val="∑"/>
                  <m:grow m:val="1"/>
                  <m:limLoc m:val="undOvr"/>
                  <m:ctrlPr>
                    <w:rPr>
                      <w:rFonts w:ascii="Cambria Math" w:hAnsi="Cambria Math"/>
                    </w:rPr>
                  </m:ctrlPr>
                </m:naryPr>
                <m:sub>
                  <m:r>
                    <w:rPr>
                      <w:rFonts w:ascii="Cambria Math" w:hAnsi="Cambria Math"/>
                    </w:rPr>
                    <m:t>i=1</m:t>
                  </m:r>
                  <m:ctrlPr>
                    <w:rPr>
                      <w:rFonts w:ascii="Cambria Math" w:hAnsi="Cambria Math"/>
                    </w:rPr>
                  </m:ctrlPr>
                </m:sub>
                <m:sup>
                  <m:r>
                    <w:rPr>
                      <w:rFonts w:ascii="Cambria Math" w:hAnsi="Cambria Math"/>
                    </w:rPr>
                    <m:t>5</m:t>
                  </m:r>
                  <m:ctrlPr>
                    <w:rPr>
                      <w:rFonts w:ascii="Cambria Math" w:hAnsi="Cambria Math"/>
                    </w:rPr>
                  </m:ctrlPr>
                </m:sup>
                <m:e>
                  <m:r>
                    <w:rPr>
                      <w:rFonts w:ascii="Cambria Math" w:hAnsi="Cambria Math"/>
                    </w:rPr>
                    <m:t> </m:t>
                  </m:r>
                  <m:ctrlPr>
                    <w:rPr>
                      <w:rFonts w:ascii="Cambria Math" w:hAnsi="Cambria Math"/>
                    </w:rPr>
                  </m:ctrlPr>
                </m:e>
              </m:nary>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≤10.0</m:t>
              </m:r>
              <m:ctrlPr>
                <w:rPr>
                  <w:rFonts w:ascii="Cambria Math" w:hAnsi="Cambria Math"/>
                </w:rPr>
              </m:ctrlPr>
            </m:e>
            <m:e>
              <m:r>
                <w:rPr>
                  <w:rFonts w:ascii="Cambria Math" w:hAnsi="Cambria Math"/>
                </w:rPr>
                <m:t>&amp;</m:t>
              </m:r>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&gt;0</m:t>
                        </m:r>
                        <m:ctrlPr>
                          <w:rPr>
                            <w:rFonts w:ascii="Cambria Math" w:hAnsi="Cambria Math"/>
                          </w:rPr>
                        </m:ctrlPr>
                      </m:e>
                    </m:mr>
                    <m:mr>
                      <m:e>
                        <m:r>
                          <w:rPr>
                            <w:rFonts w:ascii="Cambria Math" w:hAnsi="Cambria Math"/>
                          </w:rPr>
                          <m:t>0</m:t>
                        </m:r>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pPr>
        <w:pStyle w:val="3"/>
        <w:jc w:val="center"/>
      </w:pPr>
    </w:p>
    <w:p>
      <w:pPr>
        <w:pStyle w:val="3"/>
        <w:jc w:val="center"/>
      </w:pPr>
      <m:oMathPara>
        <m:oMath>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−5    &amp;&amp;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−5&gt;0</m:t>
                  </m:r>
                  <m:ctrlPr>
                    <w:rPr>
                      <w:rFonts w:ascii="Cambria Math" w:hAnsi="Cambria Math"/>
                    </w:rPr>
                  </m:ctrlPr>
                </m:e>
                <m:e>
                  <m:r>
                    <w:rPr>
                      <w:rFonts w:ascii="Cambria Math" w:hAnsi="Cambria Math"/>
                    </w:rPr>
                    <m:t>&amp;0    &amp;&amp;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−5≤0</m:t>
                  </m:r>
                  <m:ctrlPr>
                    <w:rPr>
                      <w:rFonts w:ascii="Cambria Math" w:hAnsi="Cambria Math"/>
                    </w:rPr>
                  </m:ctrlPr>
                </m:e>
              </m:eqArr>
              <m:ctrlPr>
                <w:rPr>
                  <w:rFonts w:ascii="Cambria Math" w:hAnsi="Cambria Math"/>
                </w:rPr>
              </m:ctrlPr>
            </m:e>
          </m:d>
        </m:oMath>
      </m:oMathPara>
    </w:p>
    <w:p>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pPr>
        <w:spacing w:before="240"/>
        <w:jc w:val="right"/>
        <w:rPr>
          <w:lang w:val="en-US"/>
        </w:rPr>
      </w:pPr>
      <w:r>
        <w:rPr>
          <w:rFonts w:hint="eastAsia"/>
          <w:lang w:val="en-US"/>
        </w:rPr>
        <w:t>表</w:t>
      </w:r>
      <w:r>
        <w:rPr>
          <w:lang w:val="en-US"/>
        </w:rPr>
        <w:t xml:space="preserve">4.1 </w:t>
      </w:r>
      <w:r>
        <w:rPr>
          <w:rFonts w:hint="eastAsia"/>
          <w:lang w:val="en-US"/>
        </w:rPr>
        <w:t>各频带基准值K</w:t>
      </w:r>
      <m:oMath>
        <m:r>
          <w:rPr>
            <w:rFonts w:hint="eastAsia" w:ascii="Cambria Math" w:hAnsi="Cambria Math"/>
            <w:lang w:val="en-US"/>
          </w:rPr>
          <m:t>i</m:t>
        </m:r>
        <m: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pPr>
              <w:spacing w:line="360" w:lineRule="exact"/>
              <w:jc w:val="center"/>
              <w:rPr>
                <w:sz w:val="21"/>
                <w:szCs w:val="21"/>
              </w:rPr>
            </w:pPr>
            <w:r>
              <w:rPr>
                <w:rFonts w:hint="eastAsia"/>
                <w:sz w:val="21"/>
                <w:szCs w:val="21"/>
              </w:rPr>
              <w:t>2000</w:t>
            </w:r>
            <w:r>
              <w:rPr>
                <w:sz w:val="21"/>
                <w:szCs w:val="21"/>
              </w:rP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空气声基准值</w:t>
            </w:r>
          </w:p>
        </w:tc>
        <w:tc>
          <w:tcPr>
            <w:tcW w:w="1416" w:type="dxa"/>
            <w:vAlign w:val="center"/>
          </w:tcPr>
          <w:p>
            <w:pPr>
              <w:spacing w:line="360" w:lineRule="exact"/>
              <w:jc w:val="center"/>
              <w:rPr>
                <w:sz w:val="21"/>
                <w:szCs w:val="21"/>
              </w:rPr>
            </w:pPr>
            <w:r>
              <w:rPr>
                <w:rFonts w:hint="eastAsia"/>
                <w:sz w:val="21"/>
                <w:szCs w:val="21"/>
              </w:rPr>
              <w:t>-16</w:t>
            </w:r>
          </w:p>
        </w:tc>
        <w:tc>
          <w:tcPr>
            <w:tcW w:w="1416" w:type="dxa"/>
            <w:vAlign w:val="center"/>
          </w:tcPr>
          <w:p>
            <w:pPr>
              <w:spacing w:line="360" w:lineRule="exact"/>
              <w:jc w:val="center"/>
              <w:rPr>
                <w:sz w:val="21"/>
                <w:szCs w:val="21"/>
              </w:rPr>
            </w:pPr>
            <w:r>
              <w:rPr>
                <w:rFonts w:hint="eastAsia"/>
                <w:sz w:val="21"/>
                <w:szCs w:val="21"/>
              </w:rPr>
              <w:t>-7</w:t>
            </w:r>
          </w:p>
        </w:tc>
        <w:tc>
          <w:tcPr>
            <w:tcW w:w="1416" w:type="dxa"/>
            <w:vAlign w:val="center"/>
          </w:tcPr>
          <w:p>
            <w:pPr>
              <w:spacing w:line="360" w:lineRule="exact"/>
              <w:jc w:val="center"/>
              <w:rPr>
                <w:sz w:val="21"/>
                <w:szCs w:val="21"/>
              </w:rPr>
            </w:pPr>
            <w:r>
              <w:rPr>
                <w:rFonts w:hint="eastAsia"/>
                <w:sz w:val="21"/>
                <w:szCs w:val="21"/>
              </w:rPr>
              <w:t>0</w:t>
            </w:r>
          </w:p>
        </w:tc>
        <w:tc>
          <w:tcPr>
            <w:tcW w:w="1416" w:type="dxa"/>
            <w:vAlign w:val="center"/>
          </w:tcPr>
          <w:p>
            <w:pPr>
              <w:spacing w:line="360" w:lineRule="exact"/>
              <w:jc w:val="center"/>
              <w:rPr>
                <w:sz w:val="21"/>
                <w:szCs w:val="21"/>
              </w:rPr>
            </w:pPr>
            <w:r>
              <w:rPr>
                <w:rFonts w:hint="eastAsia"/>
                <w:sz w:val="21"/>
                <w:szCs w:val="21"/>
              </w:rPr>
              <w:t>3</w:t>
            </w:r>
          </w:p>
        </w:tc>
        <w:tc>
          <w:tcPr>
            <w:tcW w:w="1418" w:type="dxa"/>
            <w:vAlign w:val="center"/>
          </w:tcPr>
          <w:p>
            <w:pPr>
              <w:spacing w:line="360" w:lineRule="exact"/>
              <w:jc w:val="center"/>
              <w:rPr>
                <w:sz w:val="21"/>
                <w:szCs w:val="21"/>
              </w:rPr>
            </w:pPr>
            <w:r>
              <w:rPr>
                <w:rFonts w:hint="eastAsia"/>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撞击声基准值</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0</w:t>
            </w:r>
          </w:p>
        </w:tc>
        <w:tc>
          <w:tcPr>
            <w:tcW w:w="1416" w:type="dxa"/>
            <w:vAlign w:val="center"/>
          </w:tcPr>
          <w:p>
            <w:pPr>
              <w:spacing w:line="360" w:lineRule="exact"/>
              <w:jc w:val="center"/>
              <w:rPr>
                <w:sz w:val="21"/>
                <w:szCs w:val="21"/>
              </w:rPr>
            </w:pPr>
            <w:r>
              <w:rPr>
                <w:rFonts w:hint="eastAsia"/>
                <w:sz w:val="21"/>
                <w:szCs w:val="21"/>
                <w:lang w:val="en-US"/>
              </w:rPr>
              <w:t>-3</w:t>
            </w:r>
          </w:p>
        </w:tc>
        <w:tc>
          <w:tcPr>
            <w:tcW w:w="1418" w:type="dxa"/>
            <w:vAlign w:val="center"/>
          </w:tcPr>
          <w:p>
            <w:pPr>
              <w:spacing w:line="360" w:lineRule="exact"/>
              <w:jc w:val="center"/>
              <w:rPr>
                <w:sz w:val="21"/>
                <w:szCs w:val="21"/>
              </w:rPr>
            </w:pPr>
            <w:r>
              <w:rPr>
                <w:rFonts w:hint="eastAsia"/>
                <w:sz w:val="21"/>
                <w:szCs w:val="21"/>
                <w:lang w:val="en-US"/>
              </w:rPr>
              <w:t>-16</w:t>
            </w:r>
          </w:p>
        </w:tc>
      </w:tr>
    </w:tbl>
    <w:p>
      <w:pPr>
        <w:pStyle w:val="4"/>
      </w:pPr>
      <w:bookmarkStart w:id="33" w:name="_Toc17768"/>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w:rPr>
                  <w:rFonts w:ascii="Cambria Math"/>
                  <w:lang w:val="en-US"/>
                </w:rPr>
                <m:t>C</m:t>
              </m:r>
              <m:ctrlPr>
                <w:rPr>
                  <w:rFonts w:ascii="Cambria Math" w:hAnsi="Cambria Math"/>
                  <w:i/>
                </w:rPr>
              </m:ctrlPr>
            </m:e>
            <m:sub>
              <m:r>
                <w:rPr>
                  <w:rFonts w:ascii="Cambria Math"/>
                  <w:lang w:val="en-US"/>
                </w:rPr>
                <m:t>j</m:t>
              </m:r>
              <m:ctrlPr>
                <w:rPr>
                  <w:rFonts w:ascii="Cambria Math" w:hAnsi="Cambria Math"/>
                  <w:i/>
                </w:rPr>
              </m:ctrlPr>
            </m:sub>
          </m:sSub>
          <m:r>
            <w:rPr>
              <w:rFonts w:ascii="Cambria Math"/>
              <w:lang w:val="en-US"/>
            </w:rPr>
            <m:t>=</m:t>
          </m:r>
          <m:r>
            <w:rPr>
              <w:rFonts w:hint="eastAsia" w:ascii="Cambria Math"/>
              <w:lang w:val="en-US"/>
            </w:rPr>
            <m:t>−</m:t>
          </m:r>
          <m:r>
            <w:rPr>
              <w:rFonts w:ascii="Cambria Math"/>
              <w:lang w:val="en-US"/>
            </w:rPr>
            <m:t>10</m:t>
          </m:r>
          <m:func>
            <m:funcPr>
              <m:ctrlPr>
                <w:rPr>
                  <w:rFonts w:ascii="Cambria Math" w:hAnsi="Cambria Math"/>
                  <w:i/>
                </w:rPr>
              </m:ctrlPr>
            </m:funcPr>
            <m:fName>
              <m: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w:rPr>
                      <w:rFonts w:ascii="Cambria Math"/>
                      <w:lang w:val="en-US"/>
                    </w:rPr>
                    <m:t>1</m:t>
                  </m:r>
                  <m:sSup>
                    <m:sSupPr>
                      <m:ctrlPr>
                        <w:rPr>
                          <w:rFonts w:ascii="Cambria Math" w:hAnsi="Cambria Math"/>
                          <w:i/>
                        </w:rPr>
                      </m:ctrlPr>
                    </m:sSupPr>
                    <m:e>
                      <m:r>
                        <w:rPr>
                          <w:rFonts w:ascii="Cambria Math"/>
                          <w:lang w:val="en-US"/>
                        </w:rPr>
                        <m:t>0</m:t>
                      </m:r>
                      <m:ctrlPr>
                        <w:rPr>
                          <w:rFonts w:ascii="Cambria Math" w:hAnsi="Cambria Math"/>
                          <w:i/>
                        </w:rPr>
                      </m:ctrlPr>
                    </m:e>
                    <m:sup>
                      <m:r>
                        <w:rPr>
                          <w:rFonts w:ascii="Cambria Math"/>
                          <w:lang w:val="en-US"/>
                        </w:rPr>
                        <m:t>(</m:t>
                      </m:r>
                      <m:sSub>
                        <m:sSubPr>
                          <m:ctrlPr>
                            <w:rPr>
                              <w:rFonts w:ascii="Cambria Math" w:hAnsi="Cambria Math"/>
                              <w:i/>
                            </w:rPr>
                          </m:ctrlPr>
                        </m:sSubPr>
                        <m:e>
                          <m:r>
                            <w:rPr>
                              <w:rFonts w:ascii="Cambria Math"/>
                              <w:lang w:val="en-US"/>
                            </w:rPr>
                            <m:t>L</m:t>
                          </m:r>
                          <m:ctrlPr>
                            <w:rPr>
                              <w:rFonts w:ascii="Cambria Math" w:hAnsi="Cambria Math"/>
                              <w:i/>
                            </w:rPr>
                          </m:ctrlPr>
                        </m:e>
                        <m:sub>
                          <m:r>
                            <w:rPr>
                              <w:rFonts w:ascii="Cambria Math"/>
                              <w:lang w:val="en-US"/>
                            </w:rPr>
                            <m:t>ij</m:t>
                          </m:r>
                          <m:ctrlPr>
                            <w:rPr>
                              <w:rFonts w:ascii="Cambria Math" w:hAnsi="Cambria Math"/>
                              <w:i/>
                            </w:rPr>
                          </m:ctrlPr>
                        </m:sub>
                      </m:sSub>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i</m:t>
                          </m:r>
                          <m:ctrlPr>
                            <w:rPr>
                              <w:rFonts w:ascii="Cambria Math" w:hAnsi="Cambria Math"/>
                              <w:i/>
                            </w:rPr>
                          </m:ctrlPr>
                        </m:sub>
                      </m:sSub>
                      <m: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pPr>
              <w:pStyle w:val="3"/>
              <w:spacing w:line="360" w:lineRule="exact"/>
              <w:jc w:val="center"/>
              <w:rPr>
                <w:lang w:val="en-US"/>
              </w:rPr>
            </w:pPr>
            <w:r>
              <w:rPr>
                <w:color w:val="000000"/>
              </w:rPr>
              <w:t>125 Hz</w:t>
            </w:r>
          </w:p>
        </w:tc>
        <w:tc>
          <w:tcPr>
            <w:tcW w:w="1228" w:type="dxa"/>
            <w:shd w:val="clear" w:color="auto" w:fill="D9D9D9"/>
            <w:vAlign w:val="center"/>
          </w:tcPr>
          <w:p>
            <w:pPr>
              <w:pStyle w:val="3"/>
              <w:spacing w:line="360" w:lineRule="exact"/>
              <w:jc w:val="center"/>
              <w:rPr>
                <w:lang w:val="en-US"/>
              </w:rPr>
            </w:pPr>
            <w:r>
              <w:rPr>
                <w:color w:val="000000"/>
              </w:rPr>
              <w:t>250 Hz</w:t>
            </w:r>
          </w:p>
        </w:tc>
        <w:tc>
          <w:tcPr>
            <w:tcW w:w="1228" w:type="dxa"/>
            <w:shd w:val="clear" w:color="auto" w:fill="D9D9D9"/>
            <w:vAlign w:val="center"/>
          </w:tcPr>
          <w:p>
            <w:pPr>
              <w:pStyle w:val="3"/>
              <w:spacing w:line="360" w:lineRule="exact"/>
              <w:jc w:val="center"/>
              <w:rPr>
                <w:lang w:val="en-US"/>
              </w:rPr>
            </w:pPr>
            <w:r>
              <w:rPr>
                <w:color w:val="000000"/>
              </w:rPr>
              <w:t>500 Hz</w:t>
            </w:r>
          </w:p>
        </w:tc>
        <w:tc>
          <w:tcPr>
            <w:tcW w:w="1228" w:type="dxa"/>
            <w:shd w:val="clear" w:color="auto" w:fill="D9D9D9"/>
            <w:vAlign w:val="center"/>
          </w:tcPr>
          <w:p>
            <w:pPr>
              <w:pStyle w:val="3"/>
              <w:spacing w:line="360" w:lineRule="exact"/>
              <w:jc w:val="center"/>
              <w:rPr>
                <w:lang w:val="en-US"/>
              </w:rPr>
            </w:pPr>
            <w:r>
              <w:rPr>
                <w:color w:val="000000"/>
              </w:rPr>
              <w:t>1000 Hz</w:t>
            </w:r>
          </w:p>
        </w:tc>
        <w:tc>
          <w:tcPr>
            <w:tcW w:w="1228" w:type="dxa"/>
            <w:shd w:val="clear" w:color="auto" w:fill="D9D9D9"/>
            <w:vAlign w:val="center"/>
          </w:tcPr>
          <w:p>
            <w:pPr>
              <w:pStyle w:val="3"/>
              <w:spacing w:line="360" w:lineRule="exact"/>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pPr>
              <w:pStyle w:val="3"/>
              <w:spacing w:line="360" w:lineRule="exact"/>
              <w:jc w:val="center"/>
              <w:rPr>
                <w:color w:val="000000"/>
              </w:rPr>
            </w:pPr>
            <w:r>
              <w:rPr>
                <w:color w:val="000000"/>
              </w:rPr>
              <w:t>-21</w:t>
            </w:r>
          </w:p>
        </w:tc>
        <w:tc>
          <w:tcPr>
            <w:tcW w:w="1228"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-8</w:t>
            </w:r>
          </w:p>
        </w:tc>
        <w:tc>
          <w:tcPr>
            <w:tcW w:w="1228" w:type="dxa"/>
            <w:vAlign w:val="center"/>
          </w:tcPr>
          <w:p>
            <w:pPr>
              <w:pStyle w:val="3"/>
              <w:spacing w:line="360" w:lineRule="exact"/>
              <w:jc w:val="center"/>
              <w:rPr>
                <w:color w:val="000000"/>
              </w:rPr>
            </w:pPr>
            <w:r>
              <w:rPr>
                <w:color w:val="000000"/>
              </w:rPr>
              <w:t>-5</w:t>
            </w:r>
          </w:p>
        </w:tc>
        <w:tc>
          <w:tcPr>
            <w:tcW w:w="1228"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-10</w:t>
            </w:r>
          </w:p>
        </w:tc>
        <w:tc>
          <w:tcPr>
            <w:tcW w:w="1228" w:type="dxa"/>
            <w:vAlign w:val="center"/>
          </w:tcPr>
          <w:p>
            <w:pPr>
              <w:pStyle w:val="3"/>
              <w:spacing w:line="360" w:lineRule="exact"/>
              <w:jc w:val="center"/>
              <w:rPr>
                <w:color w:val="000000"/>
              </w:rPr>
            </w:pPr>
            <w:r>
              <w:rPr>
                <w:color w:val="000000"/>
              </w:rPr>
              <w:t>-7</w:t>
            </w:r>
          </w:p>
        </w:tc>
        <w:tc>
          <w:tcPr>
            <w:tcW w:w="1228" w:type="dxa"/>
            <w:vAlign w:val="center"/>
          </w:tcPr>
          <w:p>
            <w:pPr>
              <w:pStyle w:val="3"/>
              <w:spacing w:line="360" w:lineRule="exact"/>
              <w:jc w:val="center"/>
              <w:rPr>
                <w:color w:val="000000"/>
              </w:rPr>
            </w:pPr>
            <w:r>
              <w:rPr>
                <w:color w:val="000000"/>
              </w:rPr>
              <w:t>-4</w:t>
            </w:r>
          </w:p>
        </w:tc>
        <w:tc>
          <w:tcPr>
            <w:tcW w:w="1228" w:type="dxa"/>
            <w:vAlign w:val="center"/>
          </w:tcPr>
          <w:p>
            <w:pPr>
              <w:pStyle w:val="3"/>
              <w:spacing w:line="360" w:lineRule="exact"/>
              <w:jc w:val="center"/>
              <w:rPr>
                <w:color w:val="000000"/>
              </w:rPr>
            </w:pPr>
            <w:r>
              <w:rPr>
                <w:color w:val="000000"/>
              </w:rPr>
              <w:t>-6</w:t>
            </w:r>
          </w:p>
        </w:tc>
      </w:tr>
    </w:tbl>
    <w:p>
      <w:pPr>
        <w:pStyle w:val="2"/>
        <w:ind w:left="669" w:hanging="669"/>
      </w:pPr>
      <w:bookmarkStart w:id="34" w:name="_Toc2614"/>
      <w:r>
        <w:rPr>
          <w:rFonts w:hint="eastAsia"/>
        </w:rPr>
        <w:t>构件空气声隔声性能</w:t>
      </w:r>
      <w:bookmarkEnd w:id="34"/>
    </w:p>
    <w:p>
      <w:pPr>
        <w:pStyle w:val="4"/>
      </w:pPr>
      <w:bookmarkStart w:id="35" w:name="_Toc18457"/>
      <w:r>
        <w:rPr>
          <w:rFonts w:hint="eastAsia"/>
        </w:rPr>
        <w:t>墙板的空气声隔声量</w:t>
      </w:r>
      <w:bookmarkEnd w:id="35"/>
    </w:p>
    <w:p>
      <w:pPr>
        <w:pStyle w:val="5"/>
      </w:pPr>
      <w:bookmarkStart w:id="36" w:name="_Toc30647"/>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外墙(填充墙)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260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岩棉板(ρ=60-160)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11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27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蒸压加气混凝土砌块B07</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750</w:t>
            </w:r>
          </w:p>
        </w:tc>
        <w:tc>
          <w:tcPr>
            <w:vAlign w:val="center"/>
          </w:tcPr>
          <w:p>
            <w:pPr>
              <w:jc w:val="center"/>
              <w:rPr>
                <w:sz w:val="21"/>
                <w:szCs w:val="21"/>
              </w:rPr>
            </w:pPr>
            <w:r>
              <w:rPr>
                <w:sz w:val="21"/>
                <w:szCs w:val="21"/>
              </w:rPr>
              <w:t>150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外墙(剪力墙)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岩棉板(ρ=60-160)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11</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27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隔墙1</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572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隔墙2</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222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蒸压加气混凝土砌块B07</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750</w:t>
            </w:r>
          </w:p>
        </w:tc>
        <w:tc>
          <w:tcPr>
            <w:vAlign w:val="center"/>
          </w:tcPr>
          <w:p>
            <w:pPr>
              <w:jc w:val="center"/>
              <w:rPr>
                <w:sz w:val="21"/>
                <w:szCs w:val="21"/>
              </w:rPr>
            </w:pPr>
            <w:r>
              <w:rPr>
                <w:sz w:val="21"/>
                <w:szCs w:val="21"/>
              </w:rPr>
              <w:t>150</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屋顶</w:t>
            </w:r>
          </w:p>
        </w:tc>
        <w:tc>
          <w:tcPr>
            <w:vAlign w:val="center"/>
          </w:tcPr>
          <w:p>
            <w:pPr>
              <w:rPr>
                <w:sz w:val="21"/>
                <w:szCs w:val="21"/>
              </w:rPr>
            </w:pPr>
            <w:r>
              <w:rPr>
                <w:sz w:val="21"/>
                <w:szCs w:val="21"/>
              </w:rPr>
              <w:t>细石混凝土</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2600</w:t>
            </w:r>
          </w:p>
        </w:tc>
        <w:tc>
          <w:tcPr>
            <w:vAlign w:val="center"/>
          </w:tcPr>
          <w:p>
            <w:pPr>
              <w:jc w:val="center"/>
              <w:rPr>
                <w:sz w:val="21"/>
                <w:szCs w:val="21"/>
              </w:rPr>
            </w:pPr>
            <w:r>
              <w:rPr>
                <w:sz w:val="21"/>
                <w:szCs w:val="21"/>
              </w:rPr>
              <w:t>130</w:t>
            </w:r>
          </w:p>
        </w:tc>
        <w:tc>
          <w:tcPr>
            <w:vMerge w:val="restart"/>
            <w:vAlign w:val="center"/>
          </w:tcPr>
          <w:p>
            <w:pPr>
              <w:jc w:val="center"/>
              <w:rPr>
                <w:sz w:val="21"/>
                <w:szCs w:val="21"/>
              </w:rPr>
            </w:pPr>
            <w:r>
              <w:rPr>
                <w:sz w:val="21"/>
                <w:szCs w:val="21"/>
              </w:rPr>
              <w:t>648</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24</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防水层(忽略保温性能)</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1</w:t>
            </w:r>
          </w:p>
        </w:tc>
        <w:tc>
          <w:tcPr>
            <w:vAlign w:val="center"/>
          </w:tcPr>
          <w:p>
            <w:pPr>
              <w:jc w:val="center"/>
              <w:rPr>
                <w:sz w:val="21"/>
                <w:szCs w:val="21"/>
              </w:rPr>
            </w:pPr>
            <w:r>
              <w:rPr>
                <w:sz w:val="21"/>
                <w:szCs w:val="21"/>
              </w:rPr>
              <w:t>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c20细石混凝土(ρ=2300)</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69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挤塑聚苯乙烯泡沫塑料（带表皮）</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4</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水泥砂浆找平层</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45</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1：6水泥焦渣（炉渣）</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1000</w:t>
            </w:r>
          </w:p>
        </w:tc>
        <w:tc>
          <w:tcPr>
            <w:vAlign w:val="center"/>
          </w:tcPr>
          <w:p>
            <w:pPr>
              <w:jc w:val="center"/>
              <w:rPr>
                <w:sz w:val="21"/>
                <w:szCs w:val="21"/>
              </w:rPr>
            </w:pPr>
            <w:r>
              <w:rPr>
                <w:sz w:val="21"/>
                <w:szCs w:val="21"/>
              </w:rPr>
              <w:t>40</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水泥砂浆找平层</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细石混凝土</w:t>
            </w:r>
          </w:p>
        </w:tc>
        <w:tc>
          <w:tcPr>
            <w:vAlign w:val="center"/>
          </w:tcPr>
          <w:p>
            <w:pPr>
              <w:jc w:val="center"/>
              <w:rPr>
                <w:sz w:val="21"/>
                <w:szCs w:val="21"/>
              </w:rPr>
            </w:pPr>
            <w:r>
              <w:rPr>
                <w:sz w:val="21"/>
                <w:szCs w:val="21"/>
              </w:rPr>
              <w:t>45</w:t>
            </w:r>
          </w:p>
        </w:tc>
        <w:tc>
          <w:tcPr>
            <w:vAlign w:val="center"/>
          </w:tcPr>
          <w:p>
            <w:pPr>
              <w:jc w:val="center"/>
              <w:rPr>
                <w:sz w:val="21"/>
                <w:szCs w:val="21"/>
              </w:rPr>
            </w:pPr>
            <w:r>
              <w:rPr>
                <w:sz w:val="21"/>
                <w:szCs w:val="21"/>
              </w:rPr>
              <w:t>2600</w:t>
            </w:r>
          </w:p>
        </w:tc>
        <w:tc>
          <w:tcPr>
            <w:vAlign w:val="center"/>
          </w:tcPr>
          <w:p>
            <w:pPr>
              <w:jc w:val="center"/>
              <w:rPr>
                <w:sz w:val="21"/>
                <w:szCs w:val="21"/>
              </w:rPr>
            </w:pPr>
            <w:r>
              <w:rPr>
                <w:sz w:val="21"/>
                <w:szCs w:val="21"/>
              </w:rPr>
              <w:t>117</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125</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313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挑空楼板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岩棉板(ρ=60-160)</w:t>
            </w:r>
          </w:p>
        </w:tc>
        <w:tc>
          <w:tcPr>
            <w:vAlign w:val="center"/>
          </w:tcPr>
          <w:p>
            <w:pPr>
              <w:jc w:val="center"/>
              <w:rPr>
                <w:sz w:val="21"/>
                <w:szCs w:val="21"/>
              </w:rPr>
            </w:pPr>
            <w:r>
              <w:rPr>
                <w:sz w:val="21"/>
                <w:szCs w:val="21"/>
              </w:rPr>
              <w:t>70</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8</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地面</w:t>
            </w:r>
          </w:p>
        </w:tc>
        <w:tc>
          <w:tcPr>
            <w:vAlign w:val="center"/>
          </w:tcPr>
          <w:p>
            <w:pPr>
              <w:rPr>
                <w:sz w:val="21"/>
                <w:szCs w:val="21"/>
              </w:rPr>
            </w:pPr>
            <w:r>
              <w:rPr>
                <w:sz w:val="21"/>
                <w:szCs w:val="21"/>
              </w:rPr>
              <w:t>挤塑聚苯乙烯泡沫塑料（带表皮）</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w:t>
            </w:r>
          </w:p>
        </w:tc>
        <w:tc>
          <w:tcPr>
            <w:vAlign w:val="center"/>
          </w:tcPr>
          <w:p>
            <w:pPr>
              <w:jc w:val="center"/>
              <w:rPr>
                <w:sz w:val="21"/>
                <w:szCs w:val="21"/>
              </w:rPr>
            </w:pPr>
            <w:r>
              <w:rPr>
                <w:sz w:val="21"/>
                <w:szCs w:val="21"/>
              </w:rPr>
              <w:t>2</w:t>
            </w: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7018"/>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客房之间隔墙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20mm＋钢筋混凝土 200mm＋水泥砂浆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572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45.5</w:t>
            </w:r>
          </w:p>
        </w:tc>
        <w:tc>
          <w:tcPr>
            <w:vAlign w:val="center"/>
          </w:tcPr>
          <w:p>
            <w:pPr>
              <w:rPr>
                <w:sz w:val="21"/>
                <w:szCs w:val="21"/>
              </w:rPr>
            </w:pPr>
            <w:r>
              <w:rPr>
                <w:sz w:val="21"/>
                <w:szCs w:val="21"/>
              </w:rPr>
              <w:t>48.8</w:t>
            </w:r>
          </w:p>
        </w:tc>
        <w:tc>
          <w:tcPr>
            <w:vAlign w:val="center"/>
          </w:tcPr>
          <w:p>
            <w:pPr>
              <w:rPr>
                <w:sz w:val="21"/>
                <w:szCs w:val="21"/>
              </w:rPr>
            </w:pPr>
            <w:r>
              <w:rPr>
                <w:sz w:val="21"/>
                <w:szCs w:val="21"/>
              </w:rPr>
              <w:t>52.1</w:t>
            </w:r>
          </w:p>
        </w:tc>
        <w:tc>
          <w:tcPr>
            <w:vAlign w:val="center"/>
          </w:tcPr>
          <w:p>
            <w:pPr>
              <w:rPr>
                <w:sz w:val="21"/>
                <w:szCs w:val="21"/>
              </w:rPr>
            </w:pPr>
            <w:r>
              <w:rPr>
                <w:sz w:val="21"/>
                <w:szCs w:val="21"/>
              </w:rPr>
              <w:t>55.4</w:t>
            </w:r>
          </w:p>
        </w:tc>
        <w:tc>
          <w:tcPr>
            <w:vAlign w:val="center"/>
          </w:tcPr>
          <w:p>
            <w:pPr>
              <w:rPr>
                <w:sz w:val="21"/>
                <w:szCs w:val="21"/>
              </w:rPr>
            </w:pPr>
            <w:r>
              <w:rPr>
                <w:sz w:val="21"/>
                <w:szCs w:val="21"/>
              </w:rPr>
              <w:t>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0.2</w:t>
            </w:r>
          </w:p>
        </w:tc>
        <w:tc>
          <w:tcPr>
            <w:vAlign w:val="center"/>
          </w:tcPr>
          <w:p>
            <w:pPr>
              <w:rPr>
                <w:sz w:val="21"/>
                <w:szCs w:val="21"/>
              </w:rPr>
            </w:pPr>
            <w:r>
              <w:rPr>
                <w:sz w:val="21"/>
                <w:szCs w:val="21"/>
              </w:rPr>
              <w:t>3.9</w:t>
            </w:r>
          </w:p>
        </w:tc>
        <w:tc>
          <w:tcPr>
            <w:vAlign w:val="center"/>
          </w:tcPr>
          <w:p>
            <w:pPr>
              <w:rPr>
                <w:sz w:val="21"/>
                <w:szCs w:val="21"/>
              </w:rPr>
            </w:pPr>
            <w:r>
              <w:rPr>
                <w:sz w:val="21"/>
                <w:szCs w:val="21"/>
              </w:rPr>
              <w:t>3.6</w:t>
            </w:r>
          </w:p>
        </w:tc>
        <w:tc>
          <w:tcPr>
            <w:vAlign w:val="center"/>
          </w:tcPr>
          <w:p>
            <w:pPr>
              <w:rPr>
                <w:sz w:val="21"/>
                <w:szCs w:val="21"/>
              </w:rPr>
            </w:pPr>
            <w:r>
              <w:rPr>
                <w:sz w:val="21"/>
                <w:szCs w:val="21"/>
              </w:rPr>
              <w:t>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客房外墙1</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20mm＋岩棉板(ρ=60-160) 100mm＋水泥砂浆 15mm＋蒸压加气混凝土砌块B07 200mm＋水泥砂浆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37.6</w:t>
            </w:r>
          </w:p>
        </w:tc>
        <w:tc>
          <w:tcPr>
            <w:vAlign w:val="center"/>
          </w:tcPr>
          <w:p>
            <w:pPr>
              <w:rPr>
                <w:sz w:val="21"/>
                <w:szCs w:val="21"/>
              </w:rPr>
            </w:pPr>
            <w:r>
              <w:rPr>
                <w:sz w:val="21"/>
                <w:szCs w:val="21"/>
              </w:rPr>
              <w:t>40.9</w:t>
            </w:r>
          </w:p>
        </w:tc>
        <w:tc>
          <w:tcPr>
            <w:vAlign w:val="center"/>
          </w:tcPr>
          <w:p>
            <w:pPr>
              <w:rPr>
                <w:sz w:val="21"/>
                <w:szCs w:val="21"/>
              </w:rPr>
            </w:pPr>
            <w:r>
              <w:rPr>
                <w:sz w:val="21"/>
                <w:szCs w:val="21"/>
              </w:rPr>
              <w:t>44.2</w:t>
            </w:r>
          </w:p>
        </w:tc>
        <w:tc>
          <w:tcPr>
            <w:vAlign w:val="center"/>
          </w:tcPr>
          <w:p>
            <w:pPr>
              <w:rPr>
                <w:sz w:val="21"/>
                <w:szCs w:val="21"/>
              </w:rPr>
            </w:pPr>
            <w:r>
              <w:rPr>
                <w:sz w:val="21"/>
                <w:szCs w:val="21"/>
              </w:rPr>
              <w:t>47.5</w:t>
            </w:r>
          </w:p>
        </w:tc>
        <w:tc>
          <w:tcPr>
            <w:vAlign w:val="center"/>
          </w:tcPr>
          <w:p>
            <w:pPr>
              <w:rPr>
                <w:sz w:val="21"/>
                <w:szCs w:val="21"/>
              </w:rPr>
            </w:pPr>
            <w:r>
              <w:rPr>
                <w:sz w:val="21"/>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0.1</w:t>
            </w:r>
          </w:p>
        </w:tc>
        <w:tc>
          <w:tcPr>
            <w:vAlign w:val="center"/>
          </w:tcPr>
          <w:p>
            <w:pPr>
              <w:rPr>
                <w:sz w:val="21"/>
                <w:szCs w:val="21"/>
              </w:rPr>
            </w:pPr>
            <w:r>
              <w:rPr>
                <w:sz w:val="21"/>
                <w:szCs w:val="21"/>
              </w:rPr>
              <w:t>3.8</w:t>
            </w:r>
          </w:p>
        </w:tc>
        <w:tc>
          <w:tcPr>
            <w:vAlign w:val="center"/>
          </w:tcPr>
          <w:p>
            <w:pPr>
              <w:rPr>
                <w:sz w:val="21"/>
                <w:szCs w:val="21"/>
              </w:rPr>
            </w:pPr>
            <w:r>
              <w:rPr>
                <w:sz w:val="21"/>
                <w:szCs w:val="21"/>
              </w:rPr>
              <w:t>3.5</w:t>
            </w:r>
          </w:p>
        </w:tc>
        <w:tc>
          <w:tcPr>
            <w:vAlign w:val="center"/>
          </w:tcPr>
          <w:p>
            <w:pPr>
              <w:rPr>
                <w:sz w:val="21"/>
                <w:szCs w:val="21"/>
              </w:rPr>
            </w:pPr>
            <w:r>
              <w:rPr>
                <w:sz w:val="21"/>
                <w:szCs w:val="21"/>
              </w:rP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低限:&gt;35,高要求:&gt;40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客房外墙2</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20mm＋岩棉板(ρ=60-160) 100mm＋水泥砂浆 15mm＋钢筋混凝土 200mm＋水泥砂浆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46.1</w:t>
            </w:r>
          </w:p>
        </w:tc>
        <w:tc>
          <w:tcPr>
            <w:vAlign w:val="center"/>
          </w:tcPr>
          <w:p>
            <w:pPr>
              <w:rPr>
                <w:sz w:val="21"/>
                <w:szCs w:val="21"/>
              </w:rPr>
            </w:pPr>
            <w:r>
              <w:rPr>
                <w:sz w:val="21"/>
                <w:szCs w:val="21"/>
              </w:rPr>
              <w:t>49.4</w:t>
            </w:r>
          </w:p>
        </w:tc>
        <w:tc>
          <w:tcPr>
            <w:vAlign w:val="center"/>
          </w:tcPr>
          <w:p>
            <w:pPr>
              <w:rPr>
                <w:sz w:val="21"/>
                <w:szCs w:val="21"/>
              </w:rPr>
            </w:pPr>
            <w:r>
              <w:rPr>
                <w:sz w:val="21"/>
                <w:szCs w:val="21"/>
              </w:rPr>
              <w:t>52.8</w:t>
            </w:r>
          </w:p>
        </w:tc>
        <w:tc>
          <w:tcPr>
            <w:vAlign w:val="center"/>
          </w:tcPr>
          <w:p>
            <w:pPr>
              <w:rPr>
                <w:sz w:val="21"/>
                <w:szCs w:val="21"/>
              </w:rPr>
            </w:pPr>
            <w:r>
              <w:rPr>
                <w:sz w:val="21"/>
                <w:szCs w:val="21"/>
              </w:rPr>
              <w:t>56.1</w:t>
            </w:r>
          </w:p>
        </w:tc>
        <w:tc>
          <w:tcPr>
            <w:vAlign w:val="center"/>
          </w:tcPr>
          <w:p>
            <w:pPr>
              <w:rPr>
                <w:sz w:val="21"/>
                <w:szCs w:val="21"/>
              </w:rPr>
            </w:pPr>
            <w:r>
              <w:rPr>
                <w:sz w:val="21"/>
                <w:szCs w:val="21"/>
              </w:rP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3.2</w:t>
            </w:r>
          </w:p>
        </w:tc>
        <w:tc>
          <w:tcPr>
            <w:vAlign w:val="center"/>
          </w:tcPr>
          <w:p>
            <w:pPr>
              <w:rPr>
                <w:sz w:val="21"/>
                <w:szCs w:val="21"/>
              </w:rPr>
            </w:pPr>
            <w:r>
              <w:rPr>
                <w:sz w:val="21"/>
                <w:szCs w:val="21"/>
              </w:rPr>
              <w:t>2.9</w:t>
            </w:r>
          </w:p>
        </w:tc>
        <w:tc>
          <w:tcPr>
            <w:vAlign w:val="center"/>
          </w:tcPr>
          <w:p>
            <w:pPr>
              <w:rPr>
                <w:sz w:val="21"/>
                <w:szCs w:val="21"/>
              </w:rPr>
            </w:pPr>
            <w:r>
              <w:rPr>
                <w:sz w:val="21"/>
                <w:szCs w:val="21"/>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低限:&gt;35,高要求:&gt;40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客房之间楼板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20mm＋细石混凝土 45mm＋钢筋混凝土 125mm＋水泥砂浆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44.2</w:t>
            </w:r>
          </w:p>
        </w:tc>
        <w:tc>
          <w:tcPr>
            <w:vAlign w:val="center"/>
          </w:tcPr>
          <w:p>
            <w:pPr>
              <w:rPr>
                <w:sz w:val="21"/>
                <w:szCs w:val="21"/>
              </w:rPr>
            </w:pPr>
            <w:r>
              <w:rPr>
                <w:sz w:val="21"/>
                <w:szCs w:val="21"/>
              </w:rPr>
              <w:t>47.5</w:t>
            </w:r>
          </w:p>
        </w:tc>
        <w:tc>
          <w:tcPr>
            <w:vAlign w:val="center"/>
          </w:tcPr>
          <w:p>
            <w:pPr>
              <w:rPr>
                <w:sz w:val="21"/>
                <w:szCs w:val="21"/>
              </w:rPr>
            </w:pPr>
            <w:r>
              <w:rPr>
                <w:sz w:val="21"/>
                <w:szCs w:val="21"/>
              </w:rPr>
              <w:t>50.8</w:t>
            </w:r>
          </w:p>
        </w:tc>
        <w:tc>
          <w:tcPr>
            <w:vAlign w:val="center"/>
          </w:tcPr>
          <w:p>
            <w:pPr>
              <w:rPr>
                <w:sz w:val="21"/>
                <w:szCs w:val="21"/>
              </w:rPr>
            </w:pPr>
            <w:r>
              <w:rPr>
                <w:sz w:val="21"/>
                <w:szCs w:val="21"/>
              </w:rPr>
              <w:t>54.1</w:t>
            </w:r>
          </w:p>
        </w:tc>
        <w:tc>
          <w:tcPr>
            <w:vAlign w:val="center"/>
          </w:tcPr>
          <w:p>
            <w:pPr>
              <w:rPr>
                <w:sz w:val="21"/>
                <w:szCs w:val="21"/>
              </w:rPr>
            </w:pPr>
            <w:r>
              <w:rPr>
                <w:sz w:val="21"/>
                <w:szCs w:val="21"/>
              </w:rPr>
              <w:t>57.4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3.2</w:t>
            </w:r>
          </w:p>
        </w:tc>
        <w:tc>
          <w:tcPr>
            <w:vAlign w:val="center"/>
          </w:tcPr>
          <w:p>
            <w:pPr>
              <w:rPr>
                <w:sz w:val="21"/>
                <w:szCs w:val="21"/>
              </w:rPr>
            </w:pPr>
            <w:r>
              <w:rPr>
                <w:sz w:val="21"/>
                <w:szCs w:val="21"/>
              </w:rPr>
              <w:t>2.9</w:t>
            </w:r>
          </w:p>
        </w:tc>
        <w:tc>
          <w:tcPr>
            <w:vAlign w:val="center"/>
          </w:tcPr>
          <w:p>
            <w:pPr>
              <w:rPr>
                <w:sz w:val="21"/>
                <w:szCs w:val="21"/>
              </w:rPr>
            </w:pPr>
            <w:r>
              <w:rPr>
                <w:sz w:val="21"/>
                <w:szCs w:val="21"/>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4"/>
      </w:pPr>
      <w:bookmarkStart w:id="46" w:name="_Toc21771"/>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客房门</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金属三防门(微孔硅酸盐制品-普通型)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木门</w:t>
            </w:r>
            <w:r>
              <w:rPr>
                <w:sz w:val="21"/>
                <w:szCs w:val="21"/>
              </w:rPr>
              <w:br w:type="textWrapping"/>
            </w:r>
            <w:r>
              <w:rPr>
                <w:sz w:val="21"/>
                <w:szCs w:val="21"/>
              </w:rPr>
              <w:t>60厚木门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24.0</w:t>
            </w:r>
          </w:p>
        </w:tc>
        <w:tc>
          <w:tcPr>
            <w:vAlign w:val="center"/>
          </w:tcPr>
          <w:p>
            <w:pPr>
              <w:rPr>
                <w:sz w:val="21"/>
                <w:szCs w:val="21"/>
              </w:rPr>
            </w:pPr>
            <w:r>
              <w:rPr>
                <w:sz w:val="21"/>
                <w:szCs w:val="21"/>
              </w:rPr>
              <w:t>24.0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3.0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70系列内平开隔热铝合金窗(5+12A+5+12A+5Low-E)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夹层玻璃隔声窗</w:t>
            </w:r>
            <w:r>
              <w:rPr>
                <w:sz w:val="21"/>
                <w:szCs w:val="21"/>
              </w:rPr>
              <w:br w:type="textWrapping"/>
            </w: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5.0</w:t>
            </w:r>
          </w:p>
        </w:tc>
        <w:tc>
          <w:tcPr>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低限:≥30,高要求:≥35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满足平均要求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1463"/>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构造参数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客房与上层房间之间的楼板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20mm＋细石混凝土 45mm＋钢筋混凝土 125mm＋水泥砂浆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参照构造做法</w:t>
            </w:r>
          </w:p>
        </w:tc>
        <w:tc>
          <w:tcPr>
            <w:gridSpan w:val="5"/>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125Hz</w:t>
            </w:r>
          </w:p>
        </w:tc>
        <w:tc>
          <w:tcPr>
            <w:shd w:val="clear" w:color="auto" w:fill="E6E6E6"/>
            <w:vAlign w:val="center"/>
          </w:tcPr>
          <w:p>
            <w:pPr>
              <w:rPr>
                <w:sz w:val="21"/>
                <w:szCs w:val="21"/>
              </w:rPr>
            </w:pPr>
            <w:r>
              <w:rPr>
                <w:sz w:val="21"/>
                <w:szCs w:val="21"/>
              </w:rPr>
              <w:t>250Hz</w:t>
            </w:r>
          </w:p>
        </w:tc>
        <w:tc>
          <w:tcPr>
            <w:shd w:val="clear" w:color="auto" w:fill="E6E6E6"/>
            <w:vAlign w:val="center"/>
          </w:tcPr>
          <w:p>
            <w:pPr>
              <w:rPr>
                <w:sz w:val="21"/>
                <w:szCs w:val="21"/>
              </w:rPr>
            </w:pPr>
            <w:r>
              <w:rPr>
                <w:sz w:val="21"/>
                <w:szCs w:val="21"/>
              </w:rPr>
              <w:t>500Hz</w:t>
            </w:r>
          </w:p>
        </w:tc>
        <w:tc>
          <w:tcPr>
            <w:shd w:val="clear" w:color="auto" w:fill="E6E6E6"/>
            <w:vAlign w:val="center"/>
          </w:tcPr>
          <w:p>
            <w:pPr>
              <w:rPr>
                <w:sz w:val="21"/>
                <w:szCs w:val="21"/>
              </w:rPr>
            </w:pPr>
            <w:r>
              <w:rPr>
                <w:sz w:val="21"/>
                <w:szCs w:val="21"/>
              </w:rPr>
              <w:t>1000Hz</w:t>
            </w:r>
          </w:p>
        </w:tc>
        <w:tc>
          <w:tcPr>
            <w:shd w:val="clear" w:color="auto" w:fill="E6E6E6"/>
            <w:vAlign w:val="center"/>
          </w:tcPr>
          <w:p>
            <w:pPr>
              <w:rPr>
                <w:sz w:val="21"/>
                <w:szCs w:val="21"/>
              </w:rPr>
            </w:pPr>
            <w:r>
              <w:rPr>
                <w:sz w:val="21"/>
                <w:szCs w:val="21"/>
              </w:rP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36.0</w:t>
            </w:r>
          </w:p>
        </w:tc>
        <w:tc>
          <w:tcPr>
            <w:vAlign w:val="center"/>
          </w:tcPr>
          <w:p>
            <w:pPr>
              <w:rPr>
                <w:sz w:val="21"/>
                <w:szCs w:val="21"/>
              </w:rPr>
            </w:pPr>
            <w:r>
              <w:rPr>
                <w:sz w:val="21"/>
                <w:szCs w:val="21"/>
              </w:rPr>
              <w:t>39.0</w:t>
            </w:r>
          </w:p>
        </w:tc>
        <w:tc>
          <w:tcPr>
            <w:vAlign w:val="center"/>
          </w:tcPr>
          <w:p>
            <w:pPr>
              <w:rPr>
                <w:sz w:val="21"/>
                <w:szCs w:val="21"/>
              </w:rPr>
            </w:pPr>
            <w:r>
              <w:rPr>
                <w:sz w:val="21"/>
                <w:szCs w:val="21"/>
              </w:rPr>
              <w:t>46.0</w:t>
            </w:r>
          </w:p>
        </w:tc>
        <w:tc>
          <w:tcPr>
            <w:vAlign w:val="center"/>
          </w:tcPr>
          <w:p>
            <w:pPr>
              <w:rPr>
                <w:sz w:val="21"/>
                <w:szCs w:val="21"/>
              </w:rPr>
            </w:pPr>
            <w:r>
              <w:rPr>
                <w:sz w:val="21"/>
                <w:szCs w:val="21"/>
              </w:rP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数据来源</w:t>
            </w:r>
          </w:p>
        </w:tc>
        <w:tc>
          <w:tcPr>
            <w:gridSpan w:val="5"/>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计权规范化撞击声压级</w:t>
            </w:r>
          </w:p>
        </w:tc>
        <w:tc>
          <w:tcPr>
            <w:gridSpan w:val="5"/>
            <w:vAlign w:val="center"/>
          </w:tcPr>
          <w:p>
            <w:pP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标准限值</w:t>
            </w:r>
          </w:p>
        </w:tc>
        <w:tc>
          <w:tcPr>
            <w:gridSpan w:val="5"/>
            <w:vAlign w:val="center"/>
          </w:tcPr>
          <w:p>
            <w:pPr>
              <w:rPr>
                <w:sz w:val="21"/>
                <w:szCs w:val="21"/>
              </w:rPr>
            </w:pPr>
            <w:r>
              <w:rPr>
                <w:sz w:val="21"/>
                <w:szCs w:val="21"/>
              </w:rPr>
              <w:t>低限:&lt;65,高要求:&lt;55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满足平均要求</w:t>
            </w:r>
          </w:p>
        </w:tc>
      </w:tr>
    </w:tbl>
    <w:p>
      <w:pPr>
        <w:rPr>
          <w:lang w:val="en-US"/>
        </w:rPr>
      </w:pPr>
      <w:bookmarkStart w:id="49" w:name="撞击声隔声"/>
      <w:bookmarkEnd w:id="49"/>
    </w:p>
    <w:p>
      <w:pPr>
        <w:rPr>
          <w:sz w:val="21"/>
          <w:szCs w:val="21"/>
          <w:lang w:val="en-US"/>
        </w:rPr>
      </w:pPr>
    </w:p>
    <w:bookmarkEnd w:id="25"/>
    <w:p>
      <w:pPr>
        <w:pStyle w:val="2"/>
        <w:ind w:left="669" w:hanging="669"/>
        <w:rPr>
          <w:kern w:val="2"/>
        </w:rPr>
      </w:pPr>
      <w:bookmarkStart w:id="50" w:name="_Toc14282"/>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单值评价量+频谱修正量</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客房之间隔墙</w:t>
            </w:r>
          </w:p>
        </w:tc>
        <w:tc>
          <w:tcPr>
            <w:vAlign w:val="center"/>
          </w:tcPr>
          <w:p>
            <w:pPr>
              <w:rPr>
                <w:sz w:val="21"/>
                <w:szCs w:val="21"/>
              </w:rPr>
            </w:pPr>
            <w:r>
              <w:rPr>
                <w:b/>
                <w:sz w:val="21"/>
                <w:szCs w:val="21"/>
              </w:rPr>
              <w:t>55</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客房外墙</w:t>
            </w:r>
          </w:p>
        </w:tc>
        <w:tc>
          <w:tcPr>
            <w:vAlign w:val="center"/>
          </w:tcPr>
          <w:p>
            <w:pPr>
              <w:rPr>
                <w:sz w:val="21"/>
                <w:szCs w:val="21"/>
              </w:rPr>
            </w:pPr>
            <w:r>
              <w:rPr>
                <w:b/>
                <w:sz w:val="21"/>
                <w:szCs w:val="21"/>
              </w:rPr>
              <w:t>45</w:t>
            </w:r>
          </w:p>
        </w:tc>
        <w:tc>
          <w:tcPr>
            <w:vAlign w:val="center"/>
          </w:tcPr>
          <w:p>
            <w:pPr>
              <w:rPr>
                <w:sz w:val="21"/>
                <w:szCs w:val="21"/>
              </w:rPr>
            </w:pPr>
            <w:r>
              <w:rPr>
                <w:sz w:val="21"/>
                <w:szCs w:val="21"/>
              </w:rPr>
              <w:t>低限:&gt;35,高要求:&gt;40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客房之间楼板</w:t>
            </w:r>
          </w:p>
        </w:tc>
        <w:tc>
          <w:tcPr>
            <w:vAlign w:val="center"/>
          </w:tcPr>
          <w:p>
            <w:pPr>
              <w:rPr>
                <w:sz w:val="21"/>
                <w:szCs w:val="21"/>
              </w:rPr>
            </w:pPr>
            <w:r>
              <w:rPr>
                <w:b/>
                <w:sz w:val="21"/>
                <w:szCs w:val="21"/>
              </w:rPr>
              <w:t>54</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客房门</w:t>
            </w:r>
          </w:p>
        </w:tc>
        <w:tc>
          <w:tcPr>
            <w:vAlign w:val="center"/>
          </w:tcPr>
          <w:p>
            <w:pPr>
              <w:rPr>
                <w:sz w:val="21"/>
                <w:szCs w:val="21"/>
              </w:rPr>
            </w:pPr>
            <w:r>
              <w:rPr>
                <w:b/>
                <w:sz w:val="21"/>
                <w:szCs w:val="21"/>
              </w:rPr>
              <w:t>33</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客房外窗</w:t>
            </w:r>
          </w:p>
        </w:tc>
        <w:tc>
          <w:tcPr>
            <w:vAlign w:val="center"/>
          </w:tcPr>
          <w:p>
            <w:pPr>
              <w:rPr>
                <w:sz w:val="21"/>
                <w:szCs w:val="21"/>
              </w:rPr>
            </w:pPr>
            <w:r>
              <w:rPr>
                <w:b/>
                <w:sz w:val="21"/>
                <w:szCs w:val="21"/>
              </w:rPr>
              <w:t>33</w:t>
            </w:r>
          </w:p>
        </w:tc>
        <w:tc>
          <w:tcPr>
            <w:vAlign w:val="center"/>
          </w:tcPr>
          <w:p>
            <w:pPr>
              <w:rPr>
                <w:sz w:val="21"/>
                <w:szCs w:val="21"/>
              </w:rPr>
            </w:pPr>
            <w:r>
              <w:rPr>
                <w:sz w:val="21"/>
                <w:szCs w:val="21"/>
              </w:rPr>
              <w:t>低限:≥30,高要求:≥35</w:t>
            </w:r>
          </w:p>
        </w:tc>
        <w:tc>
          <w:tcPr>
            <w:vAlign w:val="center"/>
          </w:tcPr>
          <w:p>
            <w:pPr>
              <w:rPr>
                <w:sz w:val="21"/>
                <w:szCs w:val="21"/>
              </w:rPr>
            </w:pPr>
            <w:r>
              <w:rPr>
                <w:b/>
                <w:sz w:val="21"/>
                <w:szCs w:val="21"/>
              </w:rPr>
              <w:t>满足平均要求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计权规范化撞击声压级</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客房与上层房间之间的楼板</w:t>
            </w:r>
          </w:p>
        </w:tc>
        <w:tc>
          <w:tcPr>
            <w:vAlign w:val="center"/>
          </w:tcPr>
          <w:p>
            <w:pPr>
              <w:rPr>
                <w:sz w:val="21"/>
                <w:szCs w:val="21"/>
              </w:rPr>
            </w:pPr>
            <w:r>
              <w:rPr>
                <w:b/>
                <w:sz w:val="21"/>
                <w:szCs w:val="21"/>
              </w:rPr>
              <w:t>55</w:t>
            </w:r>
          </w:p>
        </w:tc>
        <w:tc>
          <w:tcPr>
            <w:vAlign w:val="center"/>
          </w:tcPr>
          <w:p>
            <w:pPr>
              <w:rPr>
                <w:sz w:val="21"/>
                <w:szCs w:val="21"/>
              </w:rPr>
            </w:pPr>
            <w:r>
              <w:rPr>
                <w:sz w:val="21"/>
                <w:szCs w:val="21"/>
              </w:rPr>
              <w:t>低限:&lt;65,高要求:&lt;55</w:t>
            </w:r>
          </w:p>
        </w:tc>
        <w:tc>
          <w:tcPr>
            <w:vAlign w:val="center"/>
          </w:tcPr>
          <w:p>
            <w:pPr>
              <w:rPr>
                <w:sz w:val="21"/>
                <w:szCs w:val="21"/>
              </w:rPr>
            </w:pPr>
            <w:r>
              <w:rPr>
                <w:b/>
                <w:sz w:val="21"/>
                <w:szCs w:val="21"/>
              </w:rPr>
              <w:t>满足平均要求</w:t>
            </w:r>
          </w:p>
        </w:tc>
      </w:tr>
    </w:tbl>
    <w:p>
      <w:bookmarkStart w:id="52" w:name="撞击声隔声性能统计"/>
      <w:bookmarkEnd w:id="52"/>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 50378-2019和《民用建筑隔声设计规范》GB 50118-</w:t>
      </w:r>
    </w:p>
    <w:p>
      <w:pPr>
        <w:pStyle w:val="3"/>
        <w:rPr>
          <w:rFonts w:ascii="宋体" w:hAnsi="宋体"/>
        </w:rPr>
      </w:pPr>
      <w:r>
        <w:t>2010评价要求，可</w:t>
      </w:r>
      <w:r>
        <w:rPr>
          <w:rFonts w:hint="eastAsia" w:ascii="宋体" w:hAnsi="宋体"/>
        </w:rPr>
        <w:t>得围护结构隔声评价结果及得分情况如下表：</w:t>
      </w:r>
    </w:p>
    <w:p>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sz w:val="21"/>
                <w:szCs w:val="21"/>
              </w:rPr>
            </w:pPr>
            <w:r>
              <w:rPr>
                <w:bCs/>
                <w:sz w:val="21"/>
                <w:szCs w:val="21"/>
              </w:rPr>
              <w:t>检查项</w:t>
            </w:r>
          </w:p>
        </w:tc>
        <w:tc>
          <w:tcPr>
            <w:tcW w:w="5669" w:type="dxa"/>
            <w:shd w:val="clear" w:color="auto" w:fill="E6E6E6"/>
          </w:tcPr>
          <w:p>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pPr>
              <w:jc w:val="center"/>
              <w:rPr>
                <w:bCs/>
                <w:sz w:val="21"/>
                <w:szCs w:val="21"/>
              </w:rPr>
            </w:pPr>
            <w:r>
              <w:rPr>
                <w:bCs/>
                <w:sz w:val="21"/>
                <w:szCs w:val="21"/>
              </w:rPr>
              <w:t>结论</w:t>
            </w:r>
          </w:p>
        </w:tc>
        <w:tc>
          <w:tcPr>
            <w:tcW w:w="737" w:type="dxa"/>
            <w:shd w:val="clear" w:color="auto" w:fill="E6E6E6"/>
            <w:vAlign w:val="center"/>
          </w:tcPr>
          <w:p>
            <w:pPr>
              <w:jc w:val="center"/>
              <w:rPr>
                <w:bCs/>
                <w:sz w:val="21"/>
                <w:szCs w:val="21"/>
              </w:rPr>
            </w:pPr>
            <w:r>
              <w:rPr>
                <w:bCs/>
                <w:sz w:val="21"/>
                <w:szCs w:val="21"/>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pPr>
            <w:r>
              <w:rPr>
                <w:rFonts w:hint="eastAsia"/>
              </w:rPr>
              <w:t>空气声隔声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pPr>
              <w:jc w:val="center"/>
              <w:rPr>
                <w:b/>
                <w:bCs/>
                <w:sz w:val="21"/>
                <w:szCs w:val="21"/>
                <w:lang w:val="en-US"/>
              </w:rPr>
            </w:pP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pPr>
          </w:p>
        </w:tc>
        <w:tc>
          <w:tcPr>
            <w:tcW w:w="5669" w:type="dxa"/>
          </w:tcPr>
          <w:p>
            <w:pPr>
              <w:pStyle w:val="3"/>
            </w:pPr>
            <w:r>
              <w:rPr>
                <w:rFonts w:hint="eastAsia"/>
              </w:rPr>
              <w:t>评分项：</w:t>
            </w:r>
          </w:p>
          <w:p>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pPr>
              <w:jc w:val="center"/>
              <w:rPr>
                <w:b/>
                <w:bCs/>
                <w:sz w:val="21"/>
                <w:szCs w:val="21"/>
                <w:lang w:val="en-US"/>
              </w:rPr>
            </w:pPr>
            <w:bookmarkStart w:id="54" w:name="空气声评分项结论"/>
            <w:r>
              <w:rPr>
                <w:rFonts w:hint="eastAsia"/>
                <w:b/>
                <w:bCs/>
                <w:sz w:val="21"/>
                <w:szCs w:val="21"/>
                <w:lang w:val="en-US"/>
              </w:rPr>
              <w:t>满足平均要求</w:t>
            </w:r>
            <w:bookmarkEnd w:id="54"/>
          </w:p>
        </w:tc>
        <w:tc>
          <w:tcPr>
            <w:tcW w:w="737" w:type="dxa"/>
            <w:vAlign w:val="center"/>
          </w:tcPr>
          <w:p>
            <w:pPr>
              <w:jc w:val="center"/>
              <w:rPr>
                <w:b/>
                <w:bCs/>
                <w:sz w:val="21"/>
                <w:szCs w:val="21"/>
                <w:lang w:val="en-US"/>
              </w:rPr>
            </w:pPr>
            <w:bookmarkStart w:id="55" w:name="空气声得分"/>
            <w:r>
              <w:rPr>
                <w:rFonts w:hint="eastAsia"/>
                <w:b/>
                <w:bCs/>
                <w:sz w:val="21"/>
                <w:szCs w:val="21"/>
                <w:lang w:val="en-US"/>
              </w:rPr>
              <w:t>3</w:t>
            </w:r>
            <w:bookmarkEnd w:id="55"/>
            <w:r>
              <w:rPr>
                <w:rFonts w:hint="eastAsia"/>
                <w:b/>
                <w:bCs/>
                <w:sz w:val="21"/>
                <w:szCs w:val="21"/>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pPr>
            <w:r>
              <w:rPr>
                <w:rFonts w:hint="eastAsia"/>
              </w:rPr>
              <w:t>撞击声隔声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pPr>
              <w:jc w:val="center"/>
              <w:rPr>
                <w:b/>
                <w:bCs/>
                <w:sz w:val="21"/>
                <w:szCs w:val="21"/>
                <w:lang w:val="en-US"/>
              </w:rPr>
            </w:pPr>
            <w:r>
              <w:rPr>
                <w:rFonts w:hint="eastAsia"/>
                <w:b/>
                <w:bCs/>
                <w:sz w:val="21"/>
                <w:szCs w:val="21"/>
                <w:lang w:val="en-US"/>
              </w:rPr>
              <w:t>-</w:t>
            </w: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pPr>
          </w:p>
        </w:tc>
        <w:tc>
          <w:tcPr>
            <w:tcW w:w="5669" w:type="dxa"/>
          </w:tcPr>
          <w:p>
            <w:pPr>
              <w:pStyle w:val="3"/>
            </w:pPr>
            <w:r>
              <w:rPr>
                <w:rFonts w:hint="eastAsia"/>
              </w:rPr>
              <w:t>评分项：</w:t>
            </w:r>
          </w:p>
          <w:p>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pPr>
              <w:jc w:val="center"/>
              <w:rPr>
                <w:b/>
                <w:bCs/>
                <w:sz w:val="21"/>
                <w:szCs w:val="21"/>
                <w:lang w:val="en-US"/>
              </w:rPr>
            </w:pPr>
            <w:bookmarkStart w:id="57" w:name="撞击声评分项结论"/>
            <w:r>
              <w:rPr>
                <w:rFonts w:hint="eastAsia"/>
                <w:b/>
                <w:bCs/>
                <w:sz w:val="21"/>
                <w:szCs w:val="21"/>
                <w:lang w:val="en-US"/>
              </w:rPr>
              <w:t>满足平均要求</w:t>
            </w:r>
            <w:bookmarkEnd w:id="57"/>
          </w:p>
        </w:tc>
        <w:tc>
          <w:tcPr>
            <w:tcW w:w="737" w:type="dxa"/>
            <w:vAlign w:val="center"/>
          </w:tcPr>
          <w:p>
            <w:pPr>
              <w:jc w:val="center"/>
              <w:rPr>
                <w:b/>
                <w:bCs/>
                <w:sz w:val="21"/>
                <w:szCs w:val="21"/>
                <w:lang w:val="en-US"/>
              </w:rPr>
            </w:pPr>
            <w:bookmarkStart w:id="58" w:name="撞击声得分"/>
            <w:r>
              <w:rPr>
                <w:rFonts w:hint="eastAsia"/>
                <w:b/>
                <w:bCs/>
                <w:sz w:val="21"/>
                <w:szCs w:val="21"/>
                <w:lang w:val="en-US"/>
              </w:rPr>
              <w:t>3</w:t>
            </w:r>
            <w:bookmarkEnd w:id="58"/>
            <w:r>
              <w:rPr>
                <w:rFonts w:hint="eastAsia"/>
                <w:b/>
                <w:bCs/>
                <w:sz w:val="21"/>
                <w:szCs w:val="21"/>
                <w:lang w:val="en-US"/>
              </w:rPr>
              <w:t>分</w:t>
            </w:r>
          </w:p>
        </w:tc>
      </w:tr>
    </w:tbl>
    <w:p>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6E0861"/>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346E0861"/>
    <w:rsid w:val="6E104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60\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tmp3.dotx</Template>
  <Pages>14</Pages>
  <Words>4968</Words>
  <Characters>6336</Characters>
  <Lines>47</Lines>
  <Paragraphs>13</Paragraphs>
  <TotalTime>0</TotalTime>
  <ScaleCrop>false</ScaleCrop>
  <LinksUpToDate>false</LinksUpToDate>
  <CharactersWithSpaces>7880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2025-03-12T12:07:00Z</dcterms:created>
  <dc:creator>寄长风</dc:creator>
  <cp:lastModifiedBy>。</cp:lastModifiedBy>
  <dcterms:modified xsi:type="dcterms:W3CDTF">2026-03-21T06:12:48Z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783D8B5EA6854BE48F08938A15983FF0_11</vt:lpwstr>
  </property>
  <property fmtid="{D5CDD505-2E9C-101B-9397-08002B2CF9AE}" pid="3" name="KSOTemplateDocerSaveRecord">
    <vt:lpwstr>eyJoZGlkIjoiNjA3NWM4NDRmODdkYTAxOGQ3NDg5MjY4MTUxMTM4Y2UiLCJ1c2VySWQiOiI5MDM0NTQxNDUifQ==</vt:lpwstr>
  </property>
  <property fmtid="{D5CDD505-2E9C-101B-9397-08002B2CF9AE}" pid="4" name="KSOProductBuildVer">
    <vt:lpwstr>2052-11.1.0.10009</vt:lpwstr>
  </property>
</Properties>
</file>