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869AD">
      <w:pPr>
        <w:pStyle w:val="53"/>
      </w:pPr>
    </w:p>
    <w:p w14:paraId="031A4F21">
      <w:pPr>
        <w:pStyle w:val="53"/>
      </w:pPr>
    </w:p>
    <w:p w14:paraId="34B69D7D">
      <w:pPr>
        <w:pStyle w:val="53"/>
        <w:jc w:val="distribute"/>
        <w:rPr>
          <w:b/>
          <w:sz w:val="72"/>
          <w:szCs w:val="72"/>
        </w:rPr>
      </w:pPr>
      <w:r>
        <w:rPr>
          <w:rFonts w:hint="eastAsia"/>
          <w:b/>
          <w:sz w:val="72"/>
          <w:szCs w:val="72"/>
        </w:rPr>
        <w:t>室外风环境模拟分析报告</w:t>
      </w:r>
    </w:p>
    <w:p w14:paraId="2F6C924C">
      <w:pPr>
        <w:pStyle w:val="57"/>
        <w:spacing w:line="400" w:lineRule="exact"/>
      </w:pPr>
    </w:p>
    <w:p w14:paraId="41899BDA">
      <w:pPr>
        <w:pStyle w:val="57"/>
        <w:rPr>
          <w:b/>
        </w:rPr>
      </w:pPr>
      <w:bookmarkStart w:id="0" w:name="项目名称"/>
      <w:r>
        <w:rPr>
          <w:rFonts w:hint="eastAsia"/>
          <w:b/>
          <w:sz w:val="36"/>
          <w:szCs w:val="36"/>
        </w:rPr>
        <w:t>绿境之窗—面向低碳未来的生态酒店设计</w:t>
      </w:r>
    </w:p>
    <w:p w14:paraId="563EA492">
      <w:pPr>
        <w:pStyle w:val="57"/>
        <w:rPr>
          <w:b/>
        </w:rPr>
      </w:pPr>
      <w:r>
        <w:rPr>
          <w:rFonts w:hint="eastAsia"/>
          <w:b/>
        </w:rPr>
        <w:t>设计编号：</w:t>
      </w:r>
      <w:bookmarkStart w:id="1" w:name="设计编号"/>
      <w:r>
        <w:rPr>
          <w:rFonts w:hint="eastAsia"/>
          <w:b/>
        </w:rPr>
        <w:t>BKA80389</w:t>
      </w:r>
    </w:p>
    <w:p w14:paraId="184CC0AA">
      <w:pPr>
        <w:pStyle w:val="57"/>
        <w:rPr>
          <w:b/>
        </w:rPr>
      </w:pPr>
    </w:p>
    <w:p w14:paraId="46FA8734">
      <w:pPr>
        <w:pStyle w:val="53"/>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0BA2DE58">
      <w:pPr>
        <w:pStyle w:val="53"/>
        <w:jc w:val="center"/>
      </w:pPr>
    </w:p>
    <w:p w14:paraId="3F4B9113">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798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5C6CA4">
            <w:pPr>
              <w:pStyle w:val="53"/>
              <w:spacing w:line="240" w:lineRule="auto"/>
              <w:jc w:val="distribute"/>
            </w:pPr>
            <w:r>
              <w:rPr>
                <w:rFonts w:hint="eastAsia"/>
              </w:rPr>
              <w:t>工程地点</w:t>
            </w:r>
          </w:p>
        </w:tc>
        <w:tc>
          <w:tcPr>
            <w:tcW w:w="475" w:type="dxa"/>
            <w:vAlign w:val="center"/>
          </w:tcPr>
          <w:p w14:paraId="5F6A9D98">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7C33560C">
            <w:pPr>
              <w:pStyle w:val="53"/>
              <w:spacing w:line="240" w:lineRule="auto"/>
              <w:jc w:val="center"/>
            </w:pPr>
            <w:bookmarkStart w:id="3" w:name="项目地点"/>
            <w:bookmarkStart w:id="4" w:name="工程地点"/>
            <w:r>
              <w:t>杭州</w:t>
            </w:r>
            <w:bookmarkEnd w:id="3"/>
          </w:p>
        </w:tc>
      </w:tr>
      <w:tr w14:paraId="411F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5A7CF49">
            <w:pPr>
              <w:pStyle w:val="53"/>
              <w:spacing w:line="240" w:lineRule="auto"/>
              <w:jc w:val="distribute"/>
            </w:pPr>
            <w:r>
              <w:rPr>
                <w:rFonts w:hint="eastAsia"/>
              </w:rPr>
              <w:t>建设单位</w:t>
            </w:r>
          </w:p>
        </w:tc>
        <w:tc>
          <w:tcPr>
            <w:tcW w:w="475" w:type="dxa"/>
            <w:vAlign w:val="center"/>
          </w:tcPr>
          <w:p w14:paraId="459AF2B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C7B937E">
            <w:pPr>
              <w:pStyle w:val="53"/>
              <w:spacing w:line="240" w:lineRule="auto"/>
              <w:jc w:val="center"/>
            </w:pPr>
            <w:bookmarkStart w:id="5" w:name="建设单位"/>
            <w:bookmarkEnd w:id="5"/>
          </w:p>
        </w:tc>
      </w:tr>
      <w:tr w14:paraId="0C79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92E2BB">
            <w:pPr>
              <w:pStyle w:val="53"/>
              <w:spacing w:line="240" w:lineRule="auto"/>
              <w:jc w:val="distribute"/>
            </w:pPr>
            <w:r>
              <w:rPr>
                <w:rFonts w:hint="eastAsia"/>
              </w:rPr>
              <w:t>设计单位</w:t>
            </w:r>
          </w:p>
        </w:tc>
        <w:tc>
          <w:tcPr>
            <w:tcW w:w="475" w:type="dxa"/>
            <w:vAlign w:val="center"/>
          </w:tcPr>
          <w:p w14:paraId="53058330">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9BB1093">
            <w:pPr>
              <w:pStyle w:val="53"/>
              <w:spacing w:line="240" w:lineRule="auto"/>
              <w:jc w:val="center"/>
            </w:pPr>
            <w:bookmarkStart w:id="6" w:name="设计单位"/>
            <w:bookmarkEnd w:id="6"/>
          </w:p>
        </w:tc>
      </w:tr>
      <w:tr w14:paraId="494E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4AF512">
            <w:pPr>
              <w:pStyle w:val="53"/>
              <w:spacing w:line="240" w:lineRule="auto"/>
              <w:jc w:val="distribute"/>
            </w:pPr>
            <w:r>
              <w:rPr>
                <w:rFonts w:hint="eastAsia"/>
              </w:rPr>
              <w:t>设计人</w:t>
            </w:r>
          </w:p>
        </w:tc>
        <w:tc>
          <w:tcPr>
            <w:tcW w:w="475" w:type="dxa"/>
            <w:vAlign w:val="center"/>
          </w:tcPr>
          <w:p w14:paraId="245FBCA3">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C37A9AC">
            <w:pPr>
              <w:pStyle w:val="53"/>
              <w:spacing w:line="240" w:lineRule="auto"/>
              <w:jc w:val="center"/>
            </w:pPr>
            <w:r>
              <w:rPr>
                <w:rFonts w:hint="eastAsia"/>
                <w:sz w:val="24"/>
                <w:szCs w:val="24"/>
                <w:lang w:val="en-US" w:eastAsia="zh-CN"/>
              </w:rPr>
              <w:t>浙江科技大学</w:t>
            </w:r>
            <w:bookmarkStart w:id="140" w:name="_GoBack"/>
            <w:bookmarkEnd w:id="140"/>
          </w:p>
        </w:tc>
      </w:tr>
      <w:tr w14:paraId="0F32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007062">
            <w:pPr>
              <w:pStyle w:val="53"/>
              <w:spacing w:line="240" w:lineRule="auto"/>
              <w:jc w:val="distribute"/>
            </w:pPr>
            <w:r>
              <w:rPr>
                <w:rFonts w:hint="eastAsia"/>
              </w:rPr>
              <w:t>校对人</w:t>
            </w:r>
          </w:p>
        </w:tc>
        <w:tc>
          <w:tcPr>
            <w:tcW w:w="475" w:type="dxa"/>
            <w:vAlign w:val="center"/>
          </w:tcPr>
          <w:p w14:paraId="27F9D313">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E7108C7">
            <w:pPr>
              <w:pStyle w:val="53"/>
              <w:spacing w:line="240" w:lineRule="auto"/>
              <w:jc w:val="center"/>
            </w:pPr>
          </w:p>
        </w:tc>
      </w:tr>
      <w:tr w14:paraId="725B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0EEAA1">
            <w:pPr>
              <w:pStyle w:val="53"/>
              <w:spacing w:line="240" w:lineRule="auto"/>
              <w:jc w:val="distribute"/>
            </w:pPr>
            <w:r>
              <w:rPr>
                <w:rFonts w:hint="eastAsia"/>
              </w:rPr>
              <w:t>审定人</w:t>
            </w:r>
          </w:p>
        </w:tc>
        <w:tc>
          <w:tcPr>
            <w:tcW w:w="475" w:type="dxa"/>
            <w:vAlign w:val="center"/>
          </w:tcPr>
          <w:p w14:paraId="7584984A">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DE35503">
            <w:pPr>
              <w:pStyle w:val="53"/>
              <w:spacing w:line="240" w:lineRule="auto"/>
              <w:jc w:val="center"/>
            </w:pPr>
          </w:p>
        </w:tc>
      </w:tr>
      <w:tr w14:paraId="38FD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B0DF63">
            <w:pPr>
              <w:pStyle w:val="53"/>
              <w:spacing w:line="240" w:lineRule="auto"/>
              <w:jc w:val="distribute"/>
            </w:pPr>
            <w:r>
              <w:rPr>
                <w:rFonts w:hint="eastAsia"/>
              </w:rPr>
              <w:t>报告日期</w:t>
            </w:r>
          </w:p>
        </w:tc>
        <w:tc>
          <w:tcPr>
            <w:tcW w:w="475" w:type="dxa"/>
            <w:vAlign w:val="center"/>
          </w:tcPr>
          <w:p w14:paraId="1AA9BAFD">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C1F51E5">
            <w:pPr>
              <w:pStyle w:val="53"/>
              <w:spacing w:line="240" w:lineRule="auto"/>
              <w:jc w:val="center"/>
            </w:pPr>
            <w:bookmarkStart w:id="7" w:name="报告日期"/>
            <w:r>
              <w:t>2025年12月18日</w:t>
            </w:r>
            <w:bookmarkEnd w:id="7"/>
          </w:p>
        </w:tc>
      </w:tr>
    </w:tbl>
    <w:p w14:paraId="4F7EDD63"/>
    <w:p w14:paraId="1B76D13B">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29E05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4F444DB">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70955F2">
            <w:pPr>
              <w:pStyle w:val="55"/>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BE63A35">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BA14B7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DCCA257">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7DCE7ABB">
            <w:pPr>
              <w:pStyle w:val="55"/>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3105E3B">
            <w:pPr>
              <w:spacing w:line="360" w:lineRule="exact"/>
              <w:ind w:firstLine="360"/>
              <w:rPr>
                <w:sz w:val="18"/>
                <w:szCs w:val="18"/>
              </w:rPr>
            </w:pPr>
          </w:p>
        </w:tc>
      </w:tr>
      <w:tr w14:paraId="5F51F00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7FF06DC">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0E976BF0">
            <w:pPr>
              <w:pStyle w:val="55"/>
              <w:rPr>
                <w:szCs w:val="18"/>
              </w:rPr>
            </w:pPr>
            <w:r>
              <w:rPr>
                <w:rFonts w:hint="eastAsia"/>
                <w:szCs w:val="18"/>
              </w:rPr>
              <w:t xml:space="preserve">: </w:t>
            </w:r>
            <w:bookmarkStart w:id="10" w:name="加密锁号"/>
            <w:r>
              <w:rPr>
                <w:rFonts w:hint="eastAsia"/>
                <w:szCs w:val="18"/>
              </w:rPr>
              <w:t>T19817130557</w:t>
            </w:r>
            <w:bookmarkEnd w:id="10"/>
          </w:p>
        </w:tc>
        <w:tc>
          <w:tcPr>
            <w:tcW w:w="3958" w:type="dxa"/>
            <w:vMerge w:val="continue"/>
            <w:tcBorders>
              <w:top w:val="single" w:color="auto" w:sz="2" w:space="0"/>
              <w:left w:val="nil"/>
              <w:bottom w:val="nil"/>
              <w:right w:val="nil"/>
            </w:tcBorders>
            <w:vAlign w:val="center"/>
          </w:tcPr>
          <w:p w14:paraId="0A94411A">
            <w:pPr>
              <w:spacing w:line="360" w:lineRule="exact"/>
              <w:ind w:firstLine="360"/>
              <w:rPr>
                <w:sz w:val="18"/>
                <w:szCs w:val="18"/>
              </w:rPr>
            </w:pPr>
          </w:p>
        </w:tc>
      </w:tr>
      <w:tr w14:paraId="53AE331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3C3D88E">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7DED6A88">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E175431">
            <w:pPr>
              <w:spacing w:line="360" w:lineRule="exact"/>
              <w:ind w:firstLine="360"/>
              <w:rPr>
                <w:sz w:val="18"/>
                <w:szCs w:val="18"/>
              </w:rPr>
            </w:pPr>
          </w:p>
        </w:tc>
      </w:tr>
    </w:tbl>
    <w:p w14:paraId="0D018752">
      <w:pPr>
        <w:jc w:val="center"/>
        <w:rPr>
          <w:b/>
          <w:bCs/>
          <w:sz w:val="32"/>
          <w:szCs w:val="32"/>
        </w:rPr>
      </w:pPr>
      <w:r>
        <w:rPr>
          <w:b/>
          <w:bCs/>
          <w:sz w:val="28"/>
          <w:szCs w:val="32"/>
        </w:rPr>
        <w:br w:type="page"/>
      </w:r>
      <w:r>
        <w:rPr>
          <w:rFonts w:hint="eastAsia"/>
          <w:b/>
          <w:bCs/>
          <w:sz w:val="28"/>
          <w:szCs w:val="32"/>
        </w:rPr>
        <w:t>目  录</w:t>
      </w:r>
    </w:p>
    <w:p w14:paraId="1D01E60C">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_Toc26649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_Toc26649 \h </w:instrText>
      </w:r>
      <w:r>
        <w:fldChar w:fldCharType="separate"/>
      </w:r>
      <w:r>
        <w:t>3</w:t>
      </w:r>
      <w:r>
        <w:fldChar w:fldCharType="end"/>
      </w:r>
      <w:r>
        <w:rPr>
          <w:rFonts w:ascii="微软雅黑" w:hAnsi="微软雅黑"/>
          <w:caps/>
        </w:rPr>
        <w:fldChar w:fldCharType="end"/>
      </w:r>
    </w:p>
    <w:p w14:paraId="7F84D161">
      <w:pPr>
        <w:pStyle w:val="25"/>
        <w:tabs>
          <w:tab w:val="right" w:leader="dot" w:pos="8306"/>
        </w:tabs>
      </w:pPr>
      <w:r>
        <w:rPr>
          <w:rFonts w:ascii="微软雅黑" w:hAnsi="微软雅黑"/>
          <w:caps/>
        </w:rPr>
        <w:fldChar w:fldCharType="begin"/>
      </w:r>
      <w:r>
        <w:rPr>
          <w:rFonts w:ascii="微软雅黑" w:hAnsi="微软雅黑"/>
          <w:caps/>
        </w:rPr>
        <w:instrText xml:space="preserve"> HYPERLINK \l _Toc21456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_Toc21456 \h </w:instrText>
      </w:r>
      <w:r>
        <w:fldChar w:fldCharType="separate"/>
      </w:r>
      <w:r>
        <w:t>3</w:t>
      </w:r>
      <w:r>
        <w:fldChar w:fldCharType="end"/>
      </w:r>
      <w:r>
        <w:rPr>
          <w:rFonts w:ascii="微软雅黑" w:hAnsi="微软雅黑"/>
          <w:caps/>
        </w:rPr>
        <w:fldChar w:fldCharType="end"/>
      </w:r>
    </w:p>
    <w:p w14:paraId="6EBBEFFE">
      <w:pPr>
        <w:pStyle w:val="25"/>
        <w:tabs>
          <w:tab w:val="right" w:leader="dot" w:pos="8306"/>
        </w:tabs>
      </w:pPr>
      <w:r>
        <w:rPr>
          <w:rFonts w:ascii="微软雅黑" w:hAnsi="微软雅黑"/>
          <w:caps/>
        </w:rPr>
        <w:fldChar w:fldCharType="begin"/>
      </w:r>
      <w:r>
        <w:rPr>
          <w:rFonts w:ascii="微软雅黑" w:hAnsi="微软雅黑"/>
          <w:caps/>
        </w:rPr>
        <w:instrText xml:space="preserve"> HYPERLINK \l _Toc24371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_Toc24371 \h </w:instrText>
      </w:r>
      <w:r>
        <w:fldChar w:fldCharType="separate"/>
      </w:r>
      <w:r>
        <w:t>3</w:t>
      </w:r>
      <w:r>
        <w:fldChar w:fldCharType="end"/>
      </w:r>
      <w:r>
        <w:rPr>
          <w:rFonts w:ascii="微软雅黑" w:hAnsi="微软雅黑"/>
          <w:caps/>
        </w:rPr>
        <w:fldChar w:fldCharType="end"/>
      </w:r>
    </w:p>
    <w:p w14:paraId="4E1EBB81">
      <w:pPr>
        <w:pStyle w:val="22"/>
        <w:tabs>
          <w:tab w:val="right" w:leader="dot" w:pos="8306"/>
        </w:tabs>
      </w:pPr>
      <w:r>
        <w:rPr>
          <w:rFonts w:ascii="微软雅黑" w:hAnsi="微软雅黑"/>
          <w:caps/>
        </w:rPr>
        <w:fldChar w:fldCharType="begin"/>
      </w:r>
      <w:r>
        <w:rPr>
          <w:rFonts w:ascii="微软雅黑" w:hAnsi="微软雅黑"/>
          <w:caps/>
        </w:rPr>
        <w:instrText xml:space="preserve"> HYPERLINK \l _Toc31714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_Toc31714 \h </w:instrText>
      </w:r>
      <w:r>
        <w:fldChar w:fldCharType="separate"/>
      </w:r>
      <w:r>
        <w:t>4</w:t>
      </w:r>
      <w:r>
        <w:fldChar w:fldCharType="end"/>
      </w:r>
      <w:r>
        <w:rPr>
          <w:rFonts w:ascii="微软雅黑" w:hAnsi="微软雅黑"/>
          <w:caps/>
        </w:rPr>
        <w:fldChar w:fldCharType="end"/>
      </w:r>
    </w:p>
    <w:p w14:paraId="75049126">
      <w:pPr>
        <w:pStyle w:val="22"/>
        <w:tabs>
          <w:tab w:val="right" w:leader="dot" w:pos="8306"/>
        </w:tabs>
      </w:pPr>
      <w:r>
        <w:rPr>
          <w:rFonts w:ascii="微软雅黑" w:hAnsi="微软雅黑"/>
          <w:caps/>
        </w:rPr>
        <w:fldChar w:fldCharType="begin"/>
      </w:r>
      <w:r>
        <w:rPr>
          <w:rFonts w:ascii="微软雅黑" w:hAnsi="微软雅黑"/>
          <w:caps/>
        </w:rPr>
        <w:instrText xml:space="preserve"> HYPERLINK \l _Toc10748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_Toc10748 \h </w:instrText>
      </w:r>
      <w:r>
        <w:fldChar w:fldCharType="separate"/>
      </w:r>
      <w:r>
        <w:t>4</w:t>
      </w:r>
      <w:r>
        <w:fldChar w:fldCharType="end"/>
      </w:r>
      <w:r>
        <w:rPr>
          <w:rFonts w:ascii="微软雅黑" w:hAnsi="微软雅黑"/>
          <w:caps/>
        </w:rPr>
        <w:fldChar w:fldCharType="end"/>
      </w:r>
    </w:p>
    <w:p w14:paraId="26532098">
      <w:pPr>
        <w:pStyle w:val="22"/>
        <w:tabs>
          <w:tab w:val="right" w:leader="dot" w:pos="8306"/>
        </w:tabs>
      </w:pPr>
      <w:r>
        <w:rPr>
          <w:rFonts w:ascii="微软雅黑" w:hAnsi="微软雅黑"/>
          <w:caps/>
        </w:rPr>
        <w:fldChar w:fldCharType="begin"/>
      </w:r>
      <w:r>
        <w:rPr>
          <w:rFonts w:ascii="微软雅黑" w:hAnsi="微软雅黑"/>
          <w:caps/>
        </w:rPr>
        <w:instrText xml:space="preserve"> HYPERLINK \l _Toc4395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_Toc4395 \h </w:instrText>
      </w:r>
      <w:r>
        <w:fldChar w:fldCharType="separate"/>
      </w:r>
      <w:r>
        <w:t>5</w:t>
      </w:r>
      <w:r>
        <w:fldChar w:fldCharType="end"/>
      </w:r>
      <w:r>
        <w:rPr>
          <w:rFonts w:ascii="微软雅黑" w:hAnsi="微软雅黑"/>
          <w:caps/>
        </w:rPr>
        <w:fldChar w:fldCharType="end"/>
      </w:r>
    </w:p>
    <w:p w14:paraId="62155DB1">
      <w:pPr>
        <w:pStyle w:val="25"/>
        <w:tabs>
          <w:tab w:val="right" w:leader="dot" w:pos="8306"/>
        </w:tabs>
      </w:pPr>
      <w:r>
        <w:rPr>
          <w:rFonts w:ascii="微软雅黑" w:hAnsi="微软雅黑"/>
          <w:caps/>
        </w:rPr>
        <w:fldChar w:fldCharType="begin"/>
      </w:r>
      <w:r>
        <w:rPr>
          <w:rFonts w:ascii="微软雅黑" w:hAnsi="微软雅黑"/>
          <w:caps/>
        </w:rPr>
        <w:instrText xml:space="preserve"> HYPERLINK \l _Toc19803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_Toc19803 \h </w:instrText>
      </w:r>
      <w:r>
        <w:fldChar w:fldCharType="separate"/>
      </w:r>
      <w:r>
        <w:t>5</w:t>
      </w:r>
      <w:r>
        <w:fldChar w:fldCharType="end"/>
      </w:r>
      <w:r>
        <w:rPr>
          <w:rFonts w:ascii="微软雅黑" w:hAnsi="微软雅黑"/>
          <w:caps/>
        </w:rPr>
        <w:fldChar w:fldCharType="end"/>
      </w:r>
    </w:p>
    <w:p w14:paraId="69D812EC">
      <w:pPr>
        <w:pStyle w:val="25"/>
        <w:tabs>
          <w:tab w:val="right" w:leader="dot" w:pos="8306"/>
        </w:tabs>
      </w:pPr>
      <w:r>
        <w:rPr>
          <w:rFonts w:ascii="微软雅黑" w:hAnsi="微软雅黑"/>
          <w:caps/>
        </w:rPr>
        <w:fldChar w:fldCharType="begin"/>
      </w:r>
      <w:r>
        <w:rPr>
          <w:rFonts w:ascii="微软雅黑" w:hAnsi="微软雅黑"/>
          <w:caps/>
        </w:rPr>
        <w:instrText xml:space="preserve"> HYPERLINK \l _Toc12548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_Toc12548 \h </w:instrText>
      </w:r>
      <w:r>
        <w:fldChar w:fldCharType="separate"/>
      </w:r>
      <w:r>
        <w:t>6</w:t>
      </w:r>
      <w:r>
        <w:fldChar w:fldCharType="end"/>
      </w:r>
      <w:r>
        <w:rPr>
          <w:rFonts w:ascii="微软雅黑" w:hAnsi="微软雅黑"/>
          <w:caps/>
        </w:rPr>
        <w:fldChar w:fldCharType="end"/>
      </w:r>
    </w:p>
    <w:p w14:paraId="3475475C">
      <w:pPr>
        <w:pStyle w:val="25"/>
        <w:tabs>
          <w:tab w:val="right" w:leader="dot" w:pos="8306"/>
        </w:tabs>
      </w:pPr>
      <w:r>
        <w:rPr>
          <w:rFonts w:ascii="微软雅黑" w:hAnsi="微软雅黑"/>
          <w:caps/>
        </w:rPr>
        <w:fldChar w:fldCharType="begin"/>
      </w:r>
      <w:r>
        <w:rPr>
          <w:rFonts w:ascii="微软雅黑" w:hAnsi="微软雅黑"/>
          <w:caps/>
        </w:rPr>
        <w:instrText xml:space="preserve"> HYPERLINK \l _Toc13580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_Toc13580 \h </w:instrText>
      </w:r>
      <w:r>
        <w:fldChar w:fldCharType="separate"/>
      </w:r>
      <w:r>
        <w:t>8</w:t>
      </w:r>
      <w:r>
        <w:fldChar w:fldCharType="end"/>
      </w:r>
      <w:r>
        <w:rPr>
          <w:rFonts w:ascii="微软雅黑" w:hAnsi="微软雅黑"/>
          <w:caps/>
        </w:rPr>
        <w:fldChar w:fldCharType="end"/>
      </w:r>
    </w:p>
    <w:p w14:paraId="4B4C832A">
      <w:pPr>
        <w:pStyle w:val="25"/>
        <w:tabs>
          <w:tab w:val="right" w:leader="dot" w:pos="8306"/>
        </w:tabs>
      </w:pPr>
      <w:r>
        <w:rPr>
          <w:rFonts w:ascii="微软雅黑" w:hAnsi="微软雅黑"/>
          <w:caps/>
        </w:rPr>
        <w:fldChar w:fldCharType="begin"/>
      </w:r>
      <w:r>
        <w:rPr>
          <w:rFonts w:ascii="微软雅黑" w:hAnsi="微软雅黑"/>
          <w:caps/>
        </w:rPr>
        <w:instrText xml:space="preserve"> HYPERLINK \l _Toc29919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_Toc29919 \h </w:instrText>
      </w:r>
      <w:r>
        <w:fldChar w:fldCharType="separate"/>
      </w:r>
      <w:r>
        <w:t>10</w:t>
      </w:r>
      <w:r>
        <w:fldChar w:fldCharType="end"/>
      </w:r>
      <w:r>
        <w:rPr>
          <w:rFonts w:ascii="微软雅黑" w:hAnsi="微软雅黑"/>
          <w:caps/>
        </w:rPr>
        <w:fldChar w:fldCharType="end"/>
      </w:r>
    </w:p>
    <w:p w14:paraId="0D2346D4">
      <w:pPr>
        <w:pStyle w:val="25"/>
        <w:tabs>
          <w:tab w:val="right" w:leader="dot" w:pos="8306"/>
        </w:tabs>
      </w:pPr>
      <w:r>
        <w:rPr>
          <w:rFonts w:ascii="微软雅黑" w:hAnsi="微软雅黑"/>
          <w:caps/>
        </w:rPr>
        <w:fldChar w:fldCharType="begin"/>
      </w:r>
      <w:r>
        <w:rPr>
          <w:rFonts w:ascii="微软雅黑" w:hAnsi="微软雅黑"/>
          <w:caps/>
        </w:rPr>
        <w:instrText xml:space="preserve"> HYPERLINK \l _Toc1746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_Toc1746 \h </w:instrText>
      </w:r>
      <w:r>
        <w:fldChar w:fldCharType="separate"/>
      </w:r>
      <w:r>
        <w:t>10</w:t>
      </w:r>
      <w:r>
        <w:fldChar w:fldCharType="end"/>
      </w:r>
      <w:r>
        <w:rPr>
          <w:rFonts w:ascii="微软雅黑" w:hAnsi="微软雅黑"/>
          <w:caps/>
        </w:rPr>
        <w:fldChar w:fldCharType="end"/>
      </w:r>
    </w:p>
    <w:p w14:paraId="2040B858">
      <w:pPr>
        <w:pStyle w:val="25"/>
        <w:tabs>
          <w:tab w:val="right" w:leader="dot" w:pos="8306"/>
        </w:tabs>
      </w:pPr>
      <w:r>
        <w:rPr>
          <w:rFonts w:ascii="微软雅黑" w:hAnsi="微软雅黑"/>
          <w:caps/>
        </w:rPr>
        <w:fldChar w:fldCharType="begin"/>
      </w:r>
      <w:r>
        <w:rPr>
          <w:rFonts w:ascii="微软雅黑" w:hAnsi="微软雅黑"/>
          <w:caps/>
        </w:rPr>
        <w:instrText xml:space="preserve"> HYPERLINK \l _Toc32033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_Toc32033 \h </w:instrText>
      </w:r>
      <w:r>
        <w:fldChar w:fldCharType="separate"/>
      </w:r>
      <w:r>
        <w:t>11</w:t>
      </w:r>
      <w:r>
        <w:fldChar w:fldCharType="end"/>
      </w:r>
      <w:r>
        <w:rPr>
          <w:rFonts w:ascii="微软雅黑" w:hAnsi="微软雅黑"/>
          <w:caps/>
        </w:rPr>
        <w:fldChar w:fldCharType="end"/>
      </w:r>
    </w:p>
    <w:p w14:paraId="5D5464A0">
      <w:pPr>
        <w:pStyle w:val="22"/>
        <w:tabs>
          <w:tab w:val="right" w:leader="dot" w:pos="8306"/>
        </w:tabs>
      </w:pPr>
      <w:r>
        <w:rPr>
          <w:rFonts w:ascii="微软雅黑" w:hAnsi="微软雅黑"/>
          <w:caps/>
        </w:rPr>
        <w:fldChar w:fldCharType="begin"/>
      </w:r>
      <w:r>
        <w:rPr>
          <w:rFonts w:ascii="微软雅黑" w:hAnsi="微软雅黑"/>
          <w:caps/>
        </w:rPr>
        <w:instrText xml:space="preserve"> HYPERLINK \l _Toc29806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_Toc29806 \h </w:instrText>
      </w:r>
      <w:r>
        <w:fldChar w:fldCharType="separate"/>
      </w:r>
      <w:r>
        <w:t>12</w:t>
      </w:r>
      <w:r>
        <w:fldChar w:fldCharType="end"/>
      </w:r>
      <w:r>
        <w:rPr>
          <w:rFonts w:ascii="微软雅黑" w:hAnsi="微软雅黑"/>
          <w:caps/>
        </w:rPr>
        <w:fldChar w:fldCharType="end"/>
      </w:r>
    </w:p>
    <w:p w14:paraId="02120207">
      <w:pPr>
        <w:pStyle w:val="25"/>
        <w:tabs>
          <w:tab w:val="right" w:leader="dot" w:pos="8306"/>
        </w:tabs>
      </w:pPr>
      <w:r>
        <w:rPr>
          <w:rFonts w:ascii="微软雅黑" w:hAnsi="微软雅黑"/>
          <w:caps/>
        </w:rPr>
        <w:fldChar w:fldCharType="begin"/>
      </w:r>
      <w:r>
        <w:rPr>
          <w:rFonts w:ascii="微软雅黑" w:hAnsi="微软雅黑"/>
          <w:caps/>
        </w:rPr>
        <w:instrText xml:space="preserve"> HYPERLINK \l _Toc9166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_Toc9166 \h </w:instrText>
      </w:r>
      <w:r>
        <w:fldChar w:fldCharType="separate"/>
      </w:r>
      <w:r>
        <w:t>12</w:t>
      </w:r>
      <w:r>
        <w:fldChar w:fldCharType="end"/>
      </w:r>
      <w:r>
        <w:rPr>
          <w:rFonts w:ascii="微软雅黑" w:hAnsi="微软雅黑"/>
          <w:caps/>
        </w:rPr>
        <w:fldChar w:fldCharType="end"/>
      </w:r>
    </w:p>
    <w:p w14:paraId="2407728D">
      <w:pPr>
        <w:pStyle w:val="25"/>
        <w:tabs>
          <w:tab w:val="right" w:leader="dot" w:pos="8306"/>
        </w:tabs>
      </w:pPr>
      <w:r>
        <w:rPr>
          <w:rFonts w:ascii="微软雅黑" w:hAnsi="微软雅黑"/>
          <w:caps/>
        </w:rPr>
        <w:fldChar w:fldCharType="begin"/>
      </w:r>
      <w:r>
        <w:rPr>
          <w:rFonts w:ascii="微软雅黑" w:hAnsi="微软雅黑"/>
          <w:caps/>
        </w:rPr>
        <w:instrText xml:space="preserve"> HYPERLINK \l _Toc10761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_Toc10761 \h </w:instrText>
      </w:r>
      <w:r>
        <w:fldChar w:fldCharType="separate"/>
      </w:r>
      <w:r>
        <w:t>12</w:t>
      </w:r>
      <w:r>
        <w:fldChar w:fldCharType="end"/>
      </w:r>
      <w:r>
        <w:rPr>
          <w:rFonts w:ascii="微软雅黑" w:hAnsi="微软雅黑"/>
          <w:caps/>
        </w:rPr>
        <w:fldChar w:fldCharType="end"/>
      </w:r>
    </w:p>
    <w:p w14:paraId="5DB7F0DC">
      <w:pPr>
        <w:pStyle w:val="22"/>
        <w:tabs>
          <w:tab w:val="right" w:leader="dot" w:pos="8306"/>
        </w:tabs>
      </w:pPr>
      <w:r>
        <w:rPr>
          <w:rFonts w:ascii="微软雅黑" w:hAnsi="微软雅黑"/>
          <w:caps/>
        </w:rPr>
        <w:fldChar w:fldCharType="begin"/>
      </w:r>
      <w:r>
        <w:rPr>
          <w:rFonts w:ascii="微软雅黑" w:hAnsi="微软雅黑"/>
          <w:caps/>
        </w:rPr>
        <w:instrText xml:space="preserve"> HYPERLINK \l _Toc7609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_Toc7609 \h </w:instrText>
      </w:r>
      <w:r>
        <w:fldChar w:fldCharType="separate"/>
      </w:r>
      <w:r>
        <w:t>19</w:t>
      </w:r>
      <w:r>
        <w:fldChar w:fldCharType="end"/>
      </w:r>
      <w:r>
        <w:rPr>
          <w:rFonts w:ascii="微软雅黑" w:hAnsi="微软雅黑"/>
          <w:caps/>
        </w:rPr>
        <w:fldChar w:fldCharType="end"/>
      </w:r>
    </w:p>
    <w:p w14:paraId="0E518E41">
      <w:pPr>
        <w:pStyle w:val="25"/>
        <w:tabs>
          <w:tab w:val="right" w:leader="dot" w:pos="8306"/>
        </w:tabs>
      </w:pPr>
      <w:r>
        <w:rPr>
          <w:rFonts w:ascii="微软雅黑" w:hAnsi="微软雅黑"/>
          <w:caps/>
        </w:rPr>
        <w:fldChar w:fldCharType="begin"/>
      </w:r>
      <w:r>
        <w:rPr>
          <w:rFonts w:ascii="微软雅黑" w:hAnsi="微软雅黑"/>
          <w:caps/>
        </w:rPr>
        <w:instrText xml:space="preserve"> HYPERLINK \l _Toc9522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_Toc9522 \h </w:instrText>
      </w:r>
      <w:r>
        <w:fldChar w:fldCharType="separate"/>
      </w:r>
      <w:r>
        <w:t>19</w:t>
      </w:r>
      <w:r>
        <w:fldChar w:fldCharType="end"/>
      </w:r>
      <w:r>
        <w:rPr>
          <w:rFonts w:ascii="微软雅黑" w:hAnsi="微软雅黑"/>
          <w:caps/>
        </w:rPr>
        <w:fldChar w:fldCharType="end"/>
      </w:r>
    </w:p>
    <w:p w14:paraId="6098F573">
      <w:pPr>
        <w:pStyle w:val="22"/>
        <w:tabs>
          <w:tab w:val="right" w:leader="dot" w:pos="8306"/>
        </w:tabs>
      </w:pPr>
      <w:r>
        <w:rPr>
          <w:rFonts w:ascii="微软雅黑" w:hAnsi="微软雅黑"/>
          <w:caps/>
        </w:rPr>
        <w:fldChar w:fldCharType="begin"/>
      </w:r>
      <w:r>
        <w:rPr>
          <w:rFonts w:ascii="微软雅黑" w:hAnsi="微软雅黑"/>
          <w:caps/>
        </w:rPr>
        <w:instrText xml:space="preserve"> HYPERLINK \l _Toc17943 </w:instrText>
      </w:r>
      <w:r>
        <w:rPr>
          <w:rFonts w:ascii="微软雅黑" w:hAnsi="微软雅黑"/>
          <w:caps/>
        </w:rP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_Toc17943 \h </w:instrText>
      </w:r>
      <w:r>
        <w:fldChar w:fldCharType="separate"/>
      </w:r>
      <w:r>
        <w:t>20</w:t>
      </w:r>
      <w:r>
        <w:fldChar w:fldCharType="end"/>
      </w:r>
      <w:r>
        <w:rPr>
          <w:rFonts w:ascii="微软雅黑" w:hAnsi="微软雅黑"/>
          <w:caps/>
        </w:rPr>
        <w:fldChar w:fldCharType="end"/>
      </w:r>
    </w:p>
    <w:p w14:paraId="17082E6D">
      <w:pPr>
        <w:pStyle w:val="25"/>
        <w:tabs>
          <w:tab w:val="right" w:leader="dot" w:pos="8306"/>
        </w:tabs>
      </w:pPr>
      <w:r>
        <w:rPr>
          <w:rFonts w:ascii="微软雅黑" w:hAnsi="微软雅黑"/>
          <w:caps/>
        </w:rPr>
        <w:fldChar w:fldCharType="begin"/>
      </w:r>
      <w:r>
        <w:rPr>
          <w:rFonts w:ascii="微软雅黑" w:hAnsi="微软雅黑"/>
          <w:caps/>
        </w:rPr>
        <w:instrText xml:space="preserve"> HYPERLINK \l _Toc24746 </w:instrText>
      </w:r>
      <w:r>
        <w:rPr>
          <w:rFonts w:ascii="微软雅黑" w:hAnsi="微软雅黑"/>
          <w:caps/>
        </w:rP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_Toc24746 \h </w:instrText>
      </w:r>
      <w:r>
        <w:fldChar w:fldCharType="separate"/>
      </w:r>
      <w:r>
        <w:t>20</w:t>
      </w:r>
      <w:r>
        <w:fldChar w:fldCharType="end"/>
      </w:r>
      <w:r>
        <w:rPr>
          <w:rFonts w:ascii="微软雅黑" w:hAnsi="微软雅黑"/>
          <w:caps/>
        </w:rPr>
        <w:fldChar w:fldCharType="end"/>
      </w:r>
    </w:p>
    <w:p w14:paraId="1C9391B7">
      <w:pPr>
        <w:pStyle w:val="25"/>
        <w:tabs>
          <w:tab w:val="right" w:leader="dot" w:pos="8306"/>
        </w:tabs>
      </w:pPr>
      <w:r>
        <w:rPr>
          <w:rFonts w:ascii="微软雅黑" w:hAnsi="微软雅黑"/>
          <w:caps/>
        </w:rPr>
        <w:fldChar w:fldCharType="begin"/>
      </w:r>
      <w:r>
        <w:rPr>
          <w:rFonts w:ascii="微软雅黑" w:hAnsi="微软雅黑"/>
          <w:caps/>
        </w:rPr>
        <w:instrText xml:space="preserve"> HYPERLINK \l _Toc28569 </w:instrText>
      </w:r>
      <w:r>
        <w:rPr>
          <w:rFonts w:ascii="微软雅黑" w:hAnsi="微软雅黑"/>
          <w:caps/>
        </w:rP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_Toc28569 \h </w:instrText>
      </w:r>
      <w:r>
        <w:fldChar w:fldCharType="separate"/>
      </w:r>
      <w:r>
        <w:t>20</w:t>
      </w:r>
      <w:r>
        <w:fldChar w:fldCharType="end"/>
      </w:r>
      <w:r>
        <w:rPr>
          <w:rFonts w:ascii="微软雅黑" w:hAnsi="微软雅黑"/>
          <w:caps/>
        </w:rPr>
        <w:fldChar w:fldCharType="end"/>
      </w:r>
    </w:p>
    <w:p w14:paraId="6B55682B">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6C133608">
      <w:pPr>
        <w:pStyle w:val="2"/>
      </w:pPr>
      <w:bookmarkStart w:id="12" w:name="_Toc26649"/>
      <w:bookmarkStart w:id="13" w:name="_Toc452108759"/>
      <w:r>
        <w:rPr>
          <w:rFonts w:hint="eastAsia"/>
        </w:rPr>
        <w:t>项目概况</w:t>
      </w:r>
      <w:bookmarkEnd w:id="12"/>
      <w:bookmarkEnd w:id="13"/>
    </w:p>
    <w:p w14:paraId="51832E02">
      <w:pPr>
        <w:pStyle w:val="3"/>
        <w:ind w:firstLine="420"/>
        <w:rPr>
          <w:rFonts w:ascii="微软雅黑" w:hAnsi="微软雅黑" w:eastAsia="微软雅黑"/>
          <w:lang w:val="en-US"/>
        </w:rPr>
      </w:pPr>
      <w:bookmarkStart w:id="14" w:name="项目概况"/>
    </w:p>
    <w:p w14:paraId="7FCDC4D8">
      <w:pPr>
        <w:pStyle w:val="4"/>
      </w:pPr>
      <w:bookmarkStart w:id="15" w:name="_Toc21456"/>
      <w:bookmarkStart w:id="16" w:name="_Toc452108760"/>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2F99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411571FA">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55472AC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50F3E9D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39145550">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C228D4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1D0703A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FF8A6AF">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2C3CA1C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64F29359">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27C584BF">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448895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0D5409E2">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2C80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137EFF7A">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5B0DC27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0EC78EB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4ACDBA71">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4668604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00DA64E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E8D12F0">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0E56FD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4A48458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93E2F79">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78995E2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2CE387F0">
      <w:pPr>
        <w:pStyle w:val="3"/>
        <w:ind w:firstLine="0" w:firstLineChars="0"/>
        <w:jc w:val="center"/>
        <w:rPr>
          <w:rFonts w:ascii="微软雅黑" w:hAnsi="微软雅黑" w:eastAsia="微软雅黑"/>
          <w:lang w:val="en-US"/>
        </w:rPr>
      </w:pPr>
    </w:p>
    <w:p w14:paraId="62670BE0">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00425"/>
                    </a:xfrm>
                    <a:prstGeom prst="rect">
                      <a:avLst/>
                    </a:prstGeom>
                  </pic:spPr>
                </pic:pic>
              </a:graphicData>
            </a:graphic>
          </wp:inline>
        </w:drawing>
      </w:r>
    </w:p>
    <w:p w14:paraId="35B11AEB">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4C0CA7F3">
      <w:pPr>
        <w:pStyle w:val="3"/>
        <w:ind w:firstLine="420"/>
        <w:rPr>
          <w:rFonts w:ascii="微软雅黑" w:hAnsi="微软雅黑" w:eastAsia="微软雅黑"/>
          <w:lang w:val="en-US"/>
        </w:rPr>
      </w:pPr>
    </w:p>
    <w:p w14:paraId="23A6533A">
      <w:pPr>
        <w:pStyle w:val="4"/>
      </w:pPr>
      <w:bookmarkStart w:id="18" w:name="_Toc452108761"/>
      <w:bookmarkStart w:id="19" w:name="_Toc24371"/>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7C52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63986A7A">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47A8885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674325F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952346D">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CF3351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1D375DF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0C333A2">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5FC464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179E4406">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61F8749">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30E163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4415CE1B">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0BC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6C4C4AC8">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099D93A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06DF6C9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49B772DB">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4640A6E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1227080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4B8E838C">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23ADBB4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32DA120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3975D58">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BD42B7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4BD36E24">
      <w:pPr>
        <w:pStyle w:val="3"/>
        <w:ind w:firstLine="0" w:firstLineChars="0"/>
        <w:jc w:val="center"/>
        <w:rPr>
          <w:rFonts w:ascii="微软雅黑" w:hAnsi="微软雅黑" w:eastAsia="微软雅黑"/>
          <w:lang w:val="en-US"/>
        </w:rPr>
      </w:pPr>
    </w:p>
    <w:p w14:paraId="05D8744A">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09950"/>
                    </a:xfrm>
                    <a:prstGeom prst="rect">
                      <a:avLst/>
                    </a:prstGeom>
                  </pic:spPr>
                </pic:pic>
              </a:graphicData>
            </a:graphic>
          </wp:inline>
        </w:drawing>
      </w:r>
    </w:p>
    <w:p w14:paraId="159DCBAB">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5D577477">
      <w:pPr>
        <w:pStyle w:val="3"/>
        <w:ind w:firstLine="0" w:firstLineChars="0"/>
        <w:rPr>
          <w:rFonts w:ascii="微软雅黑" w:hAnsi="微软雅黑" w:eastAsia="微软雅黑"/>
          <w:lang w:val="en-US"/>
        </w:rPr>
      </w:pPr>
    </w:p>
    <w:p w14:paraId="4E2C8763">
      <w:pPr>
        <w:pStyle w:val="2"/>
      </w:pPr>
      <w:bookmarkStart w:id="21" w:name="_Toc452108762"/>
      <w:bookmarkStart w:id="22" w:name="TitleFormat"/>
      <w:bookmarkStart w:id="23" w:name="_Toc31714"/>
      <w:r>
        <w:rPr>
          <w:rFonts w:hint="eastAsia"/>
        </w:rPr>
        <w:t>计算</w:t>
      </w:r>
      <w:r>
        <w:t>依据</w:t>
      </w:r>
      <w:bookmarkEnd w:id="21"/>
      <w:bookmarkEnd w:id="22"/>
      <w:bookmarkEnd w:id="23"/>
    </w:p>
    <w:p w14:paraId="3974A495">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39D366E5">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099DC63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78AAB538">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778B0CF">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AA1498B">
      <w:pPr>
        <w:pStyle w:val="2"/>
      </w:pPr>
      <w:bookmarkStart w:id="25" w:name="_Toc452108763"/>
      <w:bookmarkStart w:id="26" w:name="_Toc10748"/>
      <w:r>
        <w:rPr>
          <w:rFonts w:hint="eastAsia"/>
        </w:rPr>
        <w:t>参考</w:t>
      </w:r>
      <w:r>
        <w:t>标准</w:t>
      </w:r>
      <w:bookmarkEnd w:id="25"/>
      <w:bookmarkEnd w:id="26"/>
    </w:p>
    <w:p w14:paraId="2F190470">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08A0560F">
      <w:pPr>
        <w:pStyle w:val="3"/>
        <w:ind w:firstLine="420"/>
        <w:rPr>
          <w:rFonts w:ascii="微软雅黑" w:hAnsi="微软雅黑" w:eastAsia="微软雅黑"/>
          <w:lang w:val="en-US"/>
        </w:rPr>
      </w:pPr>
      <w:bookmarkStart w:id="28" w:name="_Toc452108764"/>
      <w:bookmarkStart w:id="29" w:name="_Toc451698935"/>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76695E1E">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5BDFAD05">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0D7D599C">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44F5D76A">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03BE1C95">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7A243834">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7F34040E">
      <w:pPr>
        <w:pStyle w:val="2"/>
      </w:pPr>
      <w:bookmarkStart w:id="35" w:name="_Toc4395"/>
      <w:r>
        <w:rPr>
          <w:rFonts w:hint="eastAsia"/>
        </w:rPr>
        <w:t>计算原理</w:t>
      </w:r>
      <w:bookmarkEnd w:id="28"/>
      <w:bookmarkEnd w:id="29"/>
      <w:bookmarkEnd w:id="35"/>
    </w:p>
    <w:p w14:paraId="3EC289C2">
      <w:pPr>
        <w:pStyle w:val="4"/>
        <w:numPr>
          <w:ilvl w:val="1"/>
          <w:numId w:val="3"/>
        </w:numPr>
      </w:pPr>
      <w:bookmarkStart w:id="36" w:name="_Toc509844740"/>
      <w:bookmarkStart w:id="37" w:name="_Toc19803"/>
      <w:bookmarkStart w:id="38" w:name="_Toc451698937"/>
      <w:bookmarkStart w:id="39" w:name="_Toc452108765"/>
      <w:r>
        <w:rPr>
          <w:rFonts w:hint="eastAsia"/>
        </w:rPr>
        <w:t>风场计算域</w:t>
      </w:r>
      <w:bookmarkEnd w:id="36"/>
      <w:bookmarkEnd w:id="37"/>
    </w:p>
    <w:p w14:paraId="7BFB592B">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60A0EC8F">
      <w:pPr>
        <w:pStyle w:val="59"/>
      </w:pPr>
    </w:p>
    <w:p w14:paraId="176392BE">
      <w:pPr>
        <w:pStyle w:val="5"/>
        <w:numPr>
          <w:ilvl w:val="2"/>
          <w:numId w:val="4"/>
        </w:numPr>
      </w:pPr>
      <w:bookmarkStart w:id="40" w:name="季节1"/>
      <w:r>
        <w:rPr>
          <w:rFonts w:hint="eastAsia"/>
        </w:rPr>
        <w:t>冬季</w:t>
      </w:r>
      <w:bookmarkEnd w:id="40"/>
      <w:r>
        <w:rPr>
          <w:rFonts w:hint="eastAsia"/>
        </w:rPr>
        <w:t>工况风场计算域</w:t>
      </w:r>
    </w:p>
    <w:p w14:paraId="731854E1">
      <w:pPr>
        <w:jc w:val="center"/>
        <w:rPr>
          <w:sz w:val="18"/>
          <w:szCs w:val="18"/>
        </w:rPr>
      </w:pPr>
      <w:r>
        <w:rPr>
          <w:rFonts w:hint="eastAsia"/>
          <w:sz w:val="18"/>
          <w:szCs w:val="18"/>
        </w:rPr>
        <w:t>表4</w:t>
      </w:r>
      <w:r>
        <w:rPr>
          <w:sz w:val="18"/>
          <w:szCs w:val="18"/>
        </w:rPr>
        <w:t xml:space="preserve">.1-1 </w:t>
      </w:r>
      <w:bookmarkStart w:id="41" w:name="季节2"/>
      <w:r>
        <w:t>冬季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499CECDF">
        <w:tblPrEx>
          <w:tblCellMar>
            <w:top w:w="0" w:type="dxa"/>
            <w:left w:w="108" w:type="dxa"/>
            <w:bottom w:w="0" w:type="dxa"/>
            <w:right w:w="108" w:type="dxa"/>
          </w:tblCellMar>
        </w:tblPrEx>
        <w:trPr>
          <w:jc w:val="center"/>
        </w:trPr>
        <w:tc>
          <w:tcPr>
            <w:tcW w:w="2765" w:type="dxa"/>
            <w:shd w:val="clear" w:color="auto" w:fill="D8D8D8" w:themeFill="background1" w:themeFillShade="D9"/>
          </w:tcPr>
          <w:p w14:paraId="51AE4B25">
            <w:pPr>
              <w:jc w:val="center"/>
              <w:rPr>
                <w:sz w:val="18"/>
                <w:szCs w:val="18"/>
              </w:rPr>
            </w:pPr>
            <w:r>
              <w:rPr>
                <w:rFonts w:hint="eastAsia"/>
                <w:sz w:val="18"/>
                <w:szCs w:val="18"/>
              </w:rPr>
              <w:t>顺风方向（m）</w:t>
            </w:r>
          </w:p>
        </w:tc>
        <w:tc>
          <w:tcPr>
            <w:tcW w:w="2765" w:type="dxa"/>
            <w:shd w:val="clear" w:color="auto" w:fill="D8D8D8" w:themeFill="background1" w:themeFillShade="D9"/>
          </w:tcPr>
          <w:p w14:paraId="56C0DCEA">
            <w:pPr>
              <w:jc w:val="center"/>
              <w:rPr>
                <w:sz w:val="18"/>
                <w:szCs w:val="18"/>
              </w:rPr>
            </w:pPr>
            <w:r>
              <w:rPr>
                <w:rFonts w:hint="eastAsia"/>
                <w:sz w:val="18"/>
                <w:szCs w:val="18"/>
              </w:rPr>
              <w:t>宽度方向（m）</w:t>
            </w:r>
          </w:p>
        </w:tc>
        <w:tc>
          <w:tcPr>
            <w:tcW w:w="2766" w:type="dxa"/>
            <w:shd w:val="clear" w:color="auto" w:fill="D8D8D8" w:themeFill="background1" w:themeFillShade="D9"/>
          </w:tcPr>
          <w:p w14:paraId="0CD3BAB2">
            <w:pPr>
              <w:jc w:val="center"/>
              <w:rPr>
                <w:sz w:val="18"/>
                <w:szCs w:val="18"/>
              </w:rPr>
            </w:pPr>
            <w:r>
              <w:rPr>
                <w:rFonts w:hint="eastAsia"/>
                <w:sz w:val="18"/>
                <w:szCs w:val="18"/>
              </w:rPr>
              <w:t>高度方向（m）</w:t>
            </w:r>
          </w:p>
        </w:tc>
      </w:tr>
      <w:tr w14:paraId="25ED3D30">
        <w:tblPrEx>
          <w:tblCellMar>
            <w:top w:w="0" w:type="dxa"/>
            <w:left w:w="108" w:type="dxa"/>
            <w:bottom w:w="0" w:type="dxa"/>
            <w:right w:w="108" w:type="dxa"/>
          </w:tblCellMar>
        </w:tblPrEx>
        <w:trPr>
          <w:jc w:val="center"/>
        </w:trPr>
        <w:tc>
          <w:tcPr>
            <w:tcW w:w="2765" w:type="dxa"/>
          </w:tcPr>
          <w:p w14:paraId="226C9050">
            <w:pPr>
              <w:jc w:val="center"/>
              <w:rPr>
                <w:sz w:val="18"/>
                <w:szCs w:val="18"/>
              </w:rPr>
            </w:pPr>
            <w:bookmarkStart w:id="42" w:name="冬季风场X尺寸"/>
            <w:r>
              <w:t>382</w:t>
            </w:r>
            <w:bookmarkEnd w:id="42"/>
          </w:p>
        </w:tc>
        <w:tc>
          <w:tcPr>
            <w:tcW w:w="2765" w:type="dxa"/>
          </w:tcPr>
          <w:p w14:paraId="48674D8A">
            <w:pPr>
              <w:jc w:val="center"/>
              <w:rPr>
                <w:sz w:val="18"/>
                <w:szCs w:val="18"/>
              </w:rPr>
            </w:pPr>
            <w:bookmarkStart w:id="43" w:name="冬季风场Y尺寸"/>
            <w:r>
              <w:t>375</w:t>
            </w:r>
            <w:bookmarkEnd w:id="43"/>
          </w:p>
        </w:tc>
        <w:tc>
          <w:tcPr>
            <w:tcW w:w="2766" w:type="dxa"/>
          </w:tcPr>
          <w:p w14:paraId="07EBA133">
            <w:pPr>
              <w:jc w:val="center"/>
              <w:rPr>
                <w:sz w:val="18"/>
                <w:szCs w:val="18"/>
              </w:rPr>
            </w:pPr>
            <w:bookmarkStart w:id="44" w:name="冬季风场Z尺寸"/>
            <w:r>
              <w:t>113</w:t>
            </w:r>
            <w:bookmarkEnd w:id="44"/>
          </w:p>
        </w:tc>
      </w:tr>
    </w:tbl>
    <w:p w14:paraId="0FED422C">
      <w:pPr>
        <w:jc w:val="center"/>
        <w:rPr>
          <w:sz w:val="18"/>
          <w:szCs w:val="18"/>
        </w:rPr>
      </w:pPr>
      <w:bookmarkStart w:id="45" w:name="冬季工况风场计算域图示"/>
      <w:bookmarkEnd w:id="45"/>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248025"/>
                    </a:xfrm>
                    <a:prstGeom prst="rect">
                      <a:avLst/>
                    </a:prstGeom>
                  </pic:spPr>
                </pic:pic>
              </a:graphicData>
            </a:graphic>
          </wp:inline>
        </w:drawing>
      </w:r>
    </w:p>
    <w:p w14:paraId="6E56196A">
      <w:pPr>
        <w:jc w:val="center"/>
        <w:rPr>
          <w:sz w:val="18"/>
          <w:szCs w:val="18"/>
        </w:rPr>
      </w:pPr>
      <w:r>
        <w:rPr>
          <w:rFonts w:hint="eastAsia"/>
          <w:sz w:val="18"/>
          <w:szCs w:val="18"/>
        </w:rPr>
        <w:t>图4</w:t>
      </w:r>
      <w:r>
        <w:rPr>
          <w:sz w:val="18"/>
          <w:szCs w:val="18"/>
        </w:rPr>
        <w:t xml:space="preserve">.11 </w:t>
      </w:r>
      <w:bookmarkStart w:id="46" w:name="季节3"/>
      <w:r>
        <w:t>冬季</w:t>
      </w:r>
      <w:bookmarkEnd w:id="46"/>
      <w:r>
        <w:rPr>
          <w:rFonts w:hint="eastAsia"/>
          <w:sz w:val="18"/>
          <w:szCs w:val="18"/>
        </w:rPr>
        <w:t>工况风场计算域图示</w:t>
      </w:r>
    </w:p>
    <w:p w14:paraId="046C94FA">
      <w:pPr>
        <w:pStyle w:val="59"/>
      </w:pPr>
      <w:bookmarkStart w:id="47" w:name="计算域"/>
      <w:bookmarkEnd w:id="47"/>
    </w:p>
    <w:p w14:paraId="4939593A">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17AA1840">
      <w:pPr>
        <w:pStyle w:val="4"/>
      </w:pPr>
      <w:bookmarkStart w:id="48" w:name="_Toc12548"/>
      <w:bookmarkStart w:id="49" w:name="_Toc509844741"/>
      <w:r>
        <w:rPr>
          <w:rFonts w:hint="eastAsia"/>
        </w:rPr>
        <w:t>网格划分</w:t>
      </w:r>
      <w:bookmarkEnd w:id="48"/>
      <w:bookmarkEnd w:id="49"/>
    </w:p>
    <w:p w14:paraId="16C6CBE3">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6C432EA0">
      <w:pPr>
        <w:pStyle w:val="13"/>
        <w:spacing w:before="156"/>
        <w:ind w:left="426" w:firstLine="0"/>
        <w:rPr>
          <w:rFonts w:ascii="微软雅黑"/>
        </w:rPr>
      </w:pPr>
      <w:r>
        <w:rPr>
          <w:rFonts w:hint="eastAsia" w:ascii="微软雅黑"/>
        </w:rPr>
        <w:t>1）一般网格：指除靠近地面和建筑以外的网格，通常不需要特别加密处理</w:t>
      </w:r>
    </w:p>
    <w:p w14:paraId="4061F9B6">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00D08D83">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5BD20404">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2259D7BC">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41418344">
      <w:pPr>
        <w:pStyle w:val="13"/>
        <w:spacing w:before="156"/>
        <w:ind w:left="0" w:firstLine="315" w:firstLineChars="150"/>
        <w:rPr>
          <w:rFonts w:ascii="微软雅黑"/>
        </w:rPr>
      </w:pPr>
      <w:r>
        <w:rPr>
          <w:rFonts w:hint="eastAsia" w:ascii="微软雅黑"/>
        </w:rPr>
        <w:t>2）地面网格</w:t>
      </w:r>
    </w:p>
    <w:p w14:paraId="3FE782C4">
      <w:pPr>
        <w:pStyle w:val="13"/>
        <w:spacing w:before="156"/>
        <w:ind w:firstLine="315" w:firstLineChars="150"/>
        <w:rPr>
          <w:rFonts w:ascii="微软雅黑"/>
        </w:rPr>
      </w:pPr>
      <w:r>
        <w:rPr>
          <w:rFonts w:hint="eastAsia" w:ascii="微软雅黑"/>
        </w:rPr>
        <w:t>靠近建筑物的区域称为近场，远离建筑物的区域称为远场。</w:t>
      </w:r>
    </w:p>
    <w:p w14:paraId="7E076F1B">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10B34BD9">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1AA5F27A">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bookmarkEnd w:id="1"/>
    <w:bookmarkEnd w:id="2"/>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08940FFC">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C43CB1D">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575E830">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98419BD">
            <w:pPr>
              <w:jc w:val="center"/>
              <w:rPr>
                <w:sz w:val="18"/>
                <w:szCs w:val="18"/>
              </w:rPr>
            </w:pPr>
            <w:r>
              <w:rPr>
                <w:rFonts w:hint="eastAsia"/>
                <w:sz w:val="18"/>
                <w:szCs w:val="18"/>
              </w:rPr>
              <w:t>网格尺寸</w:t>
            </w:r>
          </w:p>
        </w:tc>
      </w:tr>
      <w:tr w14:paraId="36FB6B78">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52EDE8B2">
            <w:pPr>
              <w:jc w:val="center"/>
              <w:rPr>
                <w:sz w:val="18"/>
                <w:szCs w:val="18"/>
              </w:rPr>
            </w:pPr>
            <w:bookmarkStart w:id="51" w:name="冬季网格总数"/>
            <w:r>
              <w:t>244390</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ED8ABC6">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754A455">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AD90A91">
            <w:pPr>
              <w:jc w:val="center"/>
              <w:rPr>
                <w:sz w:val="18"/>
                <w:szCs w:val="18"/>
              </w:rPr>
            </w:pPr>
            <w:bookmarkStart w:id="52" w:name="冬季分弧精度"/>
            <w:r>
              <w:t>0.24</w:t>
            </w:r>
            <w:bookmarkEnd w:id="52"/>
          </w:p>
        </w:tc>
      </w:tr>
      <w:tr w14:paraId="69753E1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F434080">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DE63C3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165DAF3">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7683AE3">
            <w:pPr>
              <w:jc w:val="center"/>
              <w:rPr>
                <w:sz w:val="18"/>
                <w:szCs w:val="18"/>
              </w:rPr>
            </w:pPr>
            <w:bookmarkStart w:id="53" w:name="最大网格尺寸"/>
            <w:r>
              <w:t>16.0</w:t>
            </w:r>
            <w:bookmarkEnd w:id="53"/>
          </w:p>
        </w:tc>
      </w:tr>
      <w:tr w14:paraId="7336170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ABCE149">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7B5474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D439636">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E090533">
            <w:pPr>
              <w:jc w:val="center"/>
              <w:rPr>
                <w:sz w:val="18"/>
                <w:szCs w:val="18"/>
              </w:rPr>
            </w:pPr>
            <w:bookmarkStart w:id="54" w:name="最小网格尺寸"/>
            <w:r>
              <w:t>4.0</w:t>
            </w:r>
            <w:bookmarkEnd w:id="54"/>
          </w:p>
        </w:tc>
      </w:tr>
      <w:tr w14:paraId="1C2BB7F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8ABEE87">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101EAC9">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9856B7A">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218E6D76">
            <w:pPr>
              <w:jc w:val="center"/>
              <w:rPr>
                <w:sz w:val="18"/>
                <w:szCs w:val="18"/>
              </w:rPr>
            </w:pPr>
            <w:bookmarkStart w:id="55" w:name="建筑表面细分层厚度"/>
            <w:r>
              <w:t>4.0</w:t>
            </w:r>
            <w:bookmarkEnd w:id="55"/>
          </w:p>
        </w:tc>
      </w:tr>
      <w:tr w14:paraId="334EB89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B7320E7">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09DF8FB">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63CAEB8">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A466EAB">
            <w:pPr>
              <w:jc w:val="center"/>
              <w:rPr>
                <w:sz w:val="18"/>
                <w:szCs w:val="18"/>
              </w:rPr>
            </w:pPr>
            <w:bookmarkStart w:id="56" w:name="远场网格尺寸"/>
            <w:r>
              <w:t>8.0</w:t>
            </w:r>
            <w:bookmarkEnd w:id="56"/>
          </w:p>
        </w:tc>
      </w:tr>
      <w:tr w14:paraId="6720DDC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61A9676">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9BEBB88">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92C376B">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780930E">
            <w:pPr>
              <w:jc w:val="center"/>
              <w:rPr>
                <w:sz w:val="18"/>
                <w:szCs w:val="18"/>
              </w:rPr>
            </w:pPr>
            <w:bookmarkStart w:id="57" w:name="近场网格尺寸"/>
            <w:r>
              <w:t>4.0</w:t>
            </w:r>
            <w:bookmarkEnd w:id="57"/>
          </w:p>
        </w:tc>
      </w:tr>
    </w:tbl>
    <w:p w14:paraId="57D676F7">
      <w:pPr>
        <w:spacing w:line="400" w:lineRule="exact"/>
        <w:rPr>
          <w:sz w:val="18"/>
          <w:szCs w:val="18"/>
          <w:lang w:val="en-US"/>
        </w:rPr>
      </w:pPr>
    </w:p>
    <w:p w14:paraId="2DA0B7EF">
      <w:pPr>
        <w:jc w:val="center"/>
      </w:pPr>
      <w:bookmarkStart w:id="58" w:name="网格图"/>
      <w:bookmarkEnd w:id="58"/>
      <w:r>
        <w:drawing>
          <wp:inline distT="0" distB="0" distL="0" distR="0">
            <wp:extent cx="5667375" cy="3324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324225"/>
                    </a:xfrm>
                    <a:prstGeom prst="rect">
                      <a:avLst/>
                    </a:prstGeom>
                  </pic:spPr>
                </pic:pic>
              </a:graphicData>
            </a:graphic>
          </wp:inline>
        </w:drawing>
      </w:r>
    </w:p>
    <w:p w14:paraId="348C2213">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04861BFC">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1D2E7DEB">
      <w:pPr>
        <w:pStyle w:val="3"/>
        <w:ind w:firstLine="0" w:firstLineChars="0"/>
        <w:rPr>
          <w:rFonts w:ascii="微软雅黑" w:hAnsi="微软雅黑" w:eastAsia="微软雅黑"/>
          <w:szCs w:val="20"/>
          <w:lang w:val="en-US"/>
        </w:rPr>
      </w:pPr>
    </w:p>
    <w:p w14:paraId="141CFA74">
      <w:pPr>
        <w:pStyle w:val="4"/>
        <w:numPr>
          <w:ilvl w:val="1"/>
          <w:numId w:val="3"/>
        </w:numPr>
      </w:pPr>
      <w:bookmarkStart w:id="61" w:name="_Toc13580"/>
      <w:bookmarkStart w:id="62" w:name="_Toc509844742"/>
      <w:r>
        <w:rPr>
          <w:rFonts w:hint="eastAsia"/>
        </w:rPr>
        <w:t>边界条件</w:t>
      </w:r>
      <w:bookmarkEnd w:id="61"/>
      <w:bookmarkEnd w:id="62"/>
    </w:p>
    <w:p w14:paraId="559C65D2">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13064E8E">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1F7B7C32">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2454705A">
      <w:pPr>
        <w:pStyle w:val="5"/>
      </w:pPr>
      <w:bookmarkStart w:id="63" w:name="_Toc509844743"/>
      <w:r>
        <w:rPr>
          <w:rFonts w:hint="eastAsia"/>
        </w:rPr>
        <w:t>入口与出口边界条件</w:t>
      </w:r>
      <w:bookmarkEnd w:id="63"/>
    </w:p>
    <w:p w14:paraId="700C4918">
      <w:r>
        <w:rPr>
          <w:rFonts w:hint="eastAsia"/>
        </w:rPr>
        <w:t>1）入口风速梯度</w:t>
      </w:r>
    </w:p>
    <w:p w14:paraId="589196E7">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6D3FF397">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3B64C7FC">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236CC356">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5A1F1538">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125241BE">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5DEBF0E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754A8BD2">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487D8F5B">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45CFC0A5">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459943FA">
            <w:pPr>
              <w:pStyle w:val="59"/>
              <w:rPr>
                <w:b/>
              </w:rPr>
            </w:pPr>
            <w:r>
              <w:rPr>
                <w:rFonts w:hint="eastAsia"/>
                <w:b/>
              </w:rPr>
              <w:t>地面粗糙度指数</w:t>
            </w:r>
          </w:p>
        </w:tc>
      </w:tr>
      <w:tr w14:paraId="747388F7">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75AA36D">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503E3F5A">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685AD517">
            <w:pPr>
              <w:pStyle w:val="59"/>
            </w:pPr>
            <w:r>
              <w:rPr>
                <w:rFonts w:hint="eastAsia"/>
              </w:rPr>
              <w:t>0.14</w:t>
            </w:r>
          </w:p>
        </w:tc>
      </w:tr>
      <w:tr w14:paraId="6FD31965">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0443DA61">
            <w:pPr>
              <w:pStyle w:val="59"/>
              <w:rPr>
                <w:b/>
              </w:rPr>
            </w:pPr>
          </w:p>
        </w:tc>
        <w:tc>
          <w:tcPr>
            <w:tcW w:w="2948" w:type="dxa"/>
            <w:tcBorders>
              <w:top w:val="single" w:color="auto" w:sz="4" w:space="0"/>
              <w:left w:val="nil"/>
              <w:bottom w:val="single" w:color="auto" w:sz="4" w:space="0"/>
              <w:right w:val="single" w:color="auto" w:sz="4" w:space="0"/>
            </w:tcBorders>
            <w:vAlign w:val="center"/>
          </w:tcPr>
          <w:p w14:paraId="64141F86">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706AFC64">
            <w:pPr>
              <w:pStyle w:val="59"/>
            </w:pPr>
            <w:r>
              <w:rPr>
                <w:rFonts w:hint="eastAsia"/>
              </w:rPr>
              <w:t>0.22</w:t>
            </w:r>
          </w:p>
        </w:tc>
      </w:tr>
      <w:tr w14:paraId="73ECE9A8">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04C350AA">
            <w:pPr>
              <w:pStyle w:val="59"/>
              <w:rPr>
                <w:b/>
              </w:rPr>
            </w:pPr>
          </w:p>
        </w:tc>
        <w:tc>
          <w:tcPr>
            <w:tcW w:w="2948" w:type="dxa"/>
            <w:tcBorders>
              <w:top w:val="single" w:color="auto" w:sz="4" w:space="0"/>
              <w:left w:val="nil"/>
              <w:bottom w:val="single" w:color="auto" w:sz="4" w:space="0"/>
              <w:right w:val="single" w:color="auto" w:sz="4" w:space="0"/>
            </w:tcBorders>
            <w:vAlign w:val="center"/>
          </w:tcPr>
          <w:p w14:paraId="1E49BAC1">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43389149">
            <w:pPr>
              <w:pStyle w:val="59"/>
            </w:pPr>
            <w:r>
              <w:rPr>
                <w:rFonts w:hint="eastAsia"/>
              </w:rPr>
              <w:t>0.28</w:t>
            </w:r>
          </w:p>
        </w:tc>
      </w:tr>
    </w:tbl>
    <w:p w14:paraId="043D6C3F">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79006F3E">
      <w:pPr>
        <w:spacing w:before="156" w:beforeLines="50"/>
      </w:pPr>
      <w:r>
        <w:t>2）出口边界</w:t>
      </w:r>
      <w:r>
        <w:rPr>
          <w:rFonts w:hint="eastAsia"/>
        </w:rPr>
        <w:t>条件</w:t>
      </w:r>
    </w:p>
    <w:p w14:paraId="7CDB6542">
      <w:pPr>
        <w:spacing w:before="156" w:beforeLines="50"/>
        <w:ind w:firstLine="420"/>
      </w:pPr>
      <w:r>
        <w:rPr>
          <w:rFonts w:hint="eastAsia"/>
          <w:lang w:val="en-US"/>
        </w:rPr>
        <w:t>本项目采用自由出流作为出口边界条件。</w:t>
      </w:r>
    </w:p>
    <w:p w14:paraId="6AD5128D">
      <w:pPr>
        <w:pStyle w:val="5"/>
      </w:pPr>
      <w:bookmarkStart w:id="65" w:name="_Toc509844744"/>
      <w:r>
        <w:rPr>
          <w:rFonts w:hint="eastAsia"/>
        </w:rPr>
        <w:t>壁面边界条件</w:t>
      </w:r>
      <w:bookmarkEnd w:id="65"/>
    </w:p>
    <w:p w14:paraId="7D25C312">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1189D81D">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78D293C6">
      <w:pPr>
        <w:pStyle w:val="4"/>
        <w:numPr>
          <w:ilvl w:val="1"/>
          <w:numId w:val="3"/>
        </w:numPr>
      </w:pPr>
      <w:bookmarkStart w:id="66" w:name="_Toc29919"/>
      <w:r>
        <w:rPr>
          <w:rFonts w:hint="eastAsia"/>
        </w:rPr>
        <w:t>湍流模型</w:t>
      </w:r>
      <w:bookmarkEnd w:id="38"/>
      <w:bookmarkEnd w:id="39"/>
      <w:bookmarkEnd w:id="66"/>
    </w:p>
    <w:p w14:paraId="34211201">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671EB52E">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4E8C14A4">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76A70D2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16CDD16D">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3041A21A">
            <w:pPr>
              <w:pStyle w:val="59"/>
            </w:pPr>
            <w:bookmarkStart w:id="67" w:name="_Toc452108767"/>
            <w:bookmarkStart w:id="68"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113E4675">
            <w:pPr>
              <w:pStyle w:val="59"/>
            </w:pPr>
            <w:r>
              <w:rPr>
                <w:rFonts w:hint="eastAsia"/>
              </w:rPr>
              <w:t>特点和适用工况</w:t>
            </w:r>
          </w:p>
        </w:tc>
      </w:tr>
      <w:tr w14:paraId="1EC6131E">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A952EBE">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6C7B4CDD">
            <w:pPr>
              <w:pStyle w:val="59"/>
            </w:pPr>
            <w:r>
              <w:rPr>
                <w:rFonts w:hint="eastAsia"/>
              </w:rPr>
              <w:t>简单的工业流场和热交换模拟，无较大压力梯度、分离、强曲率流，适用于初始的参数研究</w:t>
            </w:r>
          </w:p>
        </w:tc>
      </w:tr>
      <w:tr w14:paraId="3A4370AB">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00B6B6E4">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1C1808DB">
            <w:pPr>
              <w:pStyle w:val="59"/>
            </w:pPr>
            <w:r>
              <w:rPr>
                <w:rFonts w:hint="eastAsia"/>
              </w:rPr>
              <w:t>适合包括快速应变的复杂剪切流、中等旋涡流动、局部转捩流如边界层分离、钝体尾迹涡、大角度失速、房间通风、室外空气流动</w:t>
            </w:r>
          </w:p>
        </w:tc>
      </w:tr>
      <w:tr w14:paraId="6BC95D79">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7063DF3">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6248C6E6">
            <w:pPr>
              <w:pStyle w:val="59"/>
            </w:pPr>
            <w:r>
              <w:rPr>
                <w:rFonts w:hint="eastAsia"/>
              </w:rPr>
              <w:t>旋转流动、强逆压梯度的边界层流动、流动分离和二次流，类似于RNG</w:t>
            </w:r>
          </w:p>
        </w:tc>
      </w:tr>
    </w:tbl>
    <w:p w14:paraId="40076A95">
      <w:pPr>
        <w:pStyle w:val="4"/>
        <w:numPr>
          <w:ilvl w:val="1"/>
          <w:numId w:val="3"/>
        </w:numPr>
      </w:pPr>
      <w:bookmarkStart w:id="69" w:name="_Toc1746"/>
      <w:r>
        <w:rPr>
          <w:rFonts w:hint="eastAsia"/>
        </w:rPr>
        <w:t>求解计算</w:t>
      </w:r>
      <w:bookmarkEnd w:id="67"/>
      <w:bookmarkEnd w:id="68"/>
      <w:bookmarkEnd w:id="69"/>
    </w:p>
    <w:p w14:paraId="26FECCDF">
      <w:pPr>
        <w:pStyle w:val="5"/>
      </w:pPr>
      <w:r>
        <w:rPr>
          <w:rFonts w:hint="eastAsia"/>
        </w:rPr>
        <w:t>数学模型</w:t>
      </w:r>
    </w:p>
    <w:p w14:paraId="6C7904D9">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453A199">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1367BD8">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49F9DB77">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5FD6F6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F5887A3">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37471A3">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343A37B">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11B8AA5D">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68E69B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23FF6A">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627B994">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F3E1917">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39B5ED70">
            <w:pPr>
              <w:widowControl w:val="0"/>
              <w:jc w:val="both"/>
              <w:rPr>
                <w:rFonts w:cs="Calibri"/>
                <w:kern w:val="2"/>
                <w:sz w:val="18"/>
                <w:szCs w:val="18"/>
              </w:rPr>
            </w:pPr>
            <w:r>
              <w:rPr>
                <w:sz w:val="18"/>
                <w:szCs w:val="18"/>
              </w:rPr>
              <w:t>0</w:t>
            </w:r>
          </w:p>
        </w:tc>
      </w:tr>
      <w:tr w14:paraId="5FEF6F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107404">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BC07D5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9287864">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DEC8AE1">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0F3A2B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696B711">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958EA5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EE346D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531953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774FA6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442EBD">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35AEAD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934A7D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1015233">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61E06D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884AEAF">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1A57E4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2ADD89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E260C84">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65C143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34E8B3">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6E639F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60E47E0">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948C281">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05B5A2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32837C7">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D0D50DD">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22FAB15">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2F62F2D0">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654A154C">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0D61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4AB3B41">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671FDDA2">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1FFE630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3427135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1C4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C92E7D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586ED8A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47DCAB8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542341B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50D3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71C3B2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2784B87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1C587998">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07CED7BD">
            <w:pPr>
              <w:pStyle w:val="3"/>
              <w:spacing w:line="240" w:lineRule="atLeast"/>
              <w:ind w:firstLine="0" w:firstLineChars="0"/>
              <w:jc w:val="left"/>
              <w:rPr>
                <w:rFonts w:ascii="微软雅黑" w:hAnsi="微软雅黑" w:eastAsia="微软雅黑"/>
                <w:sz w:val="18"/>
                <w:szCs w:val="18"/>
                <w:lang w:val="en-US"/>
              </w:rPr>
            </w:pPr>
          </w:p>
        </w:tc>
      </w:tr>
      <w:tr w14:paraId="2910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682645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9B9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D122D0B">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F64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6FB4E5A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0728333F">
      <w:pPr>
        <w:pStyle w:val="3"/>
        <w:ind w:firstLine="525" w:firstLineChars="250"/>
        <w:rPr>
          <w:rFonts w:ascii="微软雅黑" w:hAnsi="微软雅黑" w:eastAsia="微软雅黑"/>
        </w:rPr>
      </w:pPr>
    </w:p>
    <w:p w14:paraId="7C2D1C0C">
      <w:pPr>
        <w:pStyle w:val="5"/>
      </w:pPr>
      <w:r>
        <w:rPr>
          <w:rFonts w:hint="eastAsia"/>
        </w:rPr>
        <w:t>算法说明</w:t>
      </w:r>
    </w:p>
    <w:p w14:paraId="2F0E12B8">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04FE4B79">
      <w:pPr>
        <w:pStyle w:val="4"/>
      </w:pPr>
      <w:bookmarkStart w:id="72" w:name="_Toc509844747"/>
      <w:bookmarkStart w:id="73" w:name="_Toc32033"/>
      <w:r>
        <w:rPr>
          <w:rFonts w:hint="eastAsia"/>
        </w:rPr>
        <w:t>风速放大系数计算</w:t>
      </w:r>
      <w:bookmarkEnd w:id="72"/>
      <w:bookmarkEnd w:id="73"/>
    </w:p>
    <w:p w14:paraId="3B9FE10D">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667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28B02E78">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663B3E8F">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A48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2CCC45E6">
            <w:pPr>
              <w:spacing w:line="360" w:lineRule="exact"/>
              <w:rPr>
                <w:lang w:val="en-US"/>
              </w:rPr>
            </w:pPr>
          </w:p>
        </w:tc>
        <w:tc>
          <w:tcPr>
            <w:tcW w:w="1832" w:type="dxa"/>
            <w:vAlign w:val="center"/>
          </w:tcPr>
          <w:p w14:paraId="4738B6E1">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3FC289B2">
      <w:pPr>
        <w:pStyle w:val="3"/>
        <w:ind w:firstLine="420"/>
        <w:rPr>
          <w:rFonts w:ascii="微软雅黑" w:hAnsi="微软雅黑" w:eastAsia="微软雅黑"/>
          <w:lang w:val="en-US"/>
        </w:rPr>
      </w:pPr>
      <w:r>
        <w:rPr>
          <w:rFonts w:hint="eastAsia" w:ascii="微软雅黑" w:hAnsi="微软雅黑" w:eastAsia="微软雅黑"/>
          <w:lang w:val="en-US"/>
        </w:rPr>
        <w:t>其中：</w:t>
      </w:r>
    </w:p>
    <w:p w14:paraId="2DA89B68">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3DEB5B34">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45D2C20E">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18200A93">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576B0C1F">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58887916"/>
    <w:p w14:paraId="7E675893">
      <w:pPr>
        <w:pStyle w:val="2"/>
      </w:pPr>
      <w:bookmarkStart w:id="75" w:name="_Toc29806"/>
      <w:bookmarkStart w:id="76" w:name="_Toc452108768"/>
      <w:r>
        <w:rPr>
          <w:rFonts w:hint="eastAsia"/>
        </w:rPr>
        <w:t>结果</w:t>
      </w:r>
      <w:r>
        <w:t>分析</w:t>
      </w:r>
      <w:bookmarkEnd w:id="75"/>
      <w:bookmarkEnd w:id="76"/>
    </w:p>
    <w:p w14:paraId="23B7B450">
      <w:pPr>
        <w:pStyle w:val="4"/>
      </w:pPr>
      <w:bookmarkStart w:id="77" w:name="_Toc9166"/>
      <w:r>
        <w:rPr>
          <w:rFonts w:hint="eastAsia"/>
        </w:rPr>
        <w:t>工况</w:t>
      </w:r>
      <w:r>
        <w:t>表</w:t>
      </w:r>
      <w:bookmarkEnd w:id="77"/>
    </w:p>
    <w:p w14:paraId="3741BD64">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4039D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5B59911D">
            <w:pPr>
              <w:pStyle w:val="59"/>
            </w:pPr>
            <w:bookmarkStart w:id="78" w:name="计算工况表"/>
            <w:r>
              <w:rPr>
                <w:rFonts w:hint="eastAsia"/>
              </w:rPr>
              <w:t>序号</w:t>
            </w:r>
          </w:p>
        </w:tc>
        <w:tc>
          <w:tcPr>
            <w:tcW w:w="1166" w:type="pct"/>
            <w:shd w:val="clear" w:color="auto" w:fill="E6E6E6"/>
            <w:vAlign w:val="center"/>
          </w:tcPr>
          <w:p w14:paraId="186C6169">
            <w:pPr>
              <w:pStyle w:val="59"/>
            </w:pPr>
            <w:r>
              <w:rPr>
                <w:rFonts w:hint="eastAsia"/>
              </w:rPr>
              <w:t>季节</w:t>
            </w:r>
          </w:p>
        </w:tc>
        <w:tc>
          <w:tcPr>
            <w:tcW w:w="1187" w:type="pct"/>
            <w:shd w:val="clear" w:color="auto" w:fill="E6E6E6"/>
            <w:vAlign w:val="center"/>
          </w:tcPr>
          <w:p w14:paraId="789EEF5F">
            <w:pPr>
              <w:pStyle w:val="59"/>
            </w:pPr>
            <w:r>
              <w:rPr>
                <w:rFonts w:hint="eastAsia"/>
              </w:rPr>
              <w:t>风速</w:t>
            </w:r>
            <w:r>
              <w:t>(m/s)</w:t>
            </w:r>
          </w:p>
        </w:tc>
        <w:tc>
          <w:tcPr>
            <w:tcW w:w="994" w:type="pct"/>
            <w:shd w:val="clear" w:color="auto" w:fill="E6E6E6"/>
            <w:vAlign w:val="center"/>
          </w:tcPr>
          <w:p w14:paraId="4604404B">
            <w:pPr>
              <w:pStyle w:val="59"/>
            </w:pPr>
            <w:r>
              <w:rPr>
                <w:rFonts w:hint="eastAsia"/>
              </w:rPr>
              <w:t>风向</w:t>
            </w:r>
          </w:p>
        </w:tc>
        <w:tc>
          <w:tcPr>
            <w:tcW w:w="994" w:type="pct"/>
            <w:shd w:val="clear" w:color="auto" w:fill="E6E6E6"/>
            <w:vAlign w:val="center"/>
          </w:tcPr>
          <w:p w14:paraId="6B10F966">
            <w:pPr>
              <w:pStyle w:val="59"/>
            </w:pPr>
            <w:r>
              <w:rPr>
                <w:rFonts w:hint="eastAsia"/>
              </w:rPr>
              <w:t>风向（°</w:t>
            </w:r>
            <w:r>
              <w:t>）</w:t>
            </w:r>
          </w:p>
        </w:tc>
      </w:tr>
      <w:tr w14:paraId="528E7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0A1D63C8">
            <w:pPr>
              <w:pStyle w:val="59"/>
            </w:pPr>
            <w:r>
              <w:t>1</w:t>
            </w:r>
          </w:p>
        </w:tc>
        <w:tc>
          <w:tcPr>
            <w:tcW w:w="1166" w:type="pct"/>
            <w:vAlign w:val="center"/>
          </w:tcPr>
          <w:p w14:paraId="72028E90">
            <w:pPr>
              <w:pStyle w:val="59"/>
            </w:pPr>
            <w:r>
              <w:t>冬季</w:t>
            </w:r>
          </w:p>
        </w:tc>
        <w:tc>
          <w:tcPr>
            <w:tcW w:w="1187" w:type="pct"/>
            <w:vAlign w:val="center"/>
          </w:tcPr>
          <w:p w14:paraId="32021678">
            <w:pPr>
              <w:pStyle w:val="59"/>
            </w:pPr>
            <w:r>
              <w:t>3.30</w:t>
            </w:r>
          </w:p>
        </w:tc>
        <w:tc>
          <w:tcPr>
            <w:tcW w:w="994" w:type="pct"/>
            <w:vAlign w:val="center"/>
          </w:tcPr>
          <w:p w14:paraId="52E99CD9">
            <w:pPr>
              <w:pStyle w:val="59"/>
            </w:pPr>
            <w:r>
              <w:t>N</w:t>
            </w:r>
          </w:p>
        </w:tc>
        <w:tc>
          <w:tcPr>
            <w:tcW w:w="994" w:type="pct"/>
            <w:vAlign w:val="center"/>
          </w:tcPr>
          <w:p w14:paraId="6F1F1C53">
            <w:pPr>
              <w:pStyle w:val="59"/>
            </w:pPr>
            <w:r>
              <w:t>90.0</w:t>
            </w:r>
          </w:p>
        </w:tc>
      </w:tr>
      <w:bookmarkEnd w:id="78"/>
    </w:tbl>
    <w:p w14:paraId="50395155">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0F784E17">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23A23EDD">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0B737802">
      <w:pPr>
        <w:pStyle w:val="4"/>
      </w:pPr>
      <w:bookmarkStart w:id="79" w:name="_Toc10761"/>
      <w:bookmarkStart w:id="80" w:name="_Toc509844750"/>
      <w:r>
        <w:rPr>
          <w:rFonts w:hint="eastAsia"/>
        </w:rPr>
        <w:t>冬季工况</w:t>
      </w:r>
      <w:bookmarkEnd w:id="79"/>
      <w:bookmarkEnd w:id="80"/>
    </w:p>
    <w:p w14:paraId="42EF791C">
      <w:pPr>
        <w:ind w:firstLine="420" w:firstLineChars="200"/>
        <w:jc w:val="both"/>
        <w:rPr>
          <w:rFonts w:ascii="微软雅黑" w:hAnsi="微软雅黑" w:eastAsia="微软雅黑"/>
        </w:rPr>
      </w:pPr>
      <w:r>
        <w:rPr>
          <w:rFonts w:hint="eastAsia" w:ascii="微软雅黑" w:hAnsi="微软雅黑" w:eastAsia="微软雅黑"/>
          <w:lang w:val="en-US"/>
        </w:rPr>
        <w:t>本项目冬季工况的入口边界风速为</w:t>
      </w:r>
      <w:bookmarkStart w:id="81" w:name="冬季入口边界风速"/>
      <w:r>
        <w:rPr>
          <w:rFonts w:hint="eastAsia" w:ascii="微软雅黑" w:hAnsi="微软雅黑" w:eastAsia="微软雅黑"/>
          <w:szCs w:val="21"/>
        </w:rPr>
        <w:t>3.30</w:t>
      </w:r>
      <w:bookmarkEnd w:id="81"/>
      <w:r>
        <w:rPr>
          <w:rFonts w:ascii="微软雅黑" w:hAnsi="微软雅黑" w:eastAsia="微软雅黑"/>
          <w:szCs w:val="21"/>
        </w:rPr>
        <w:t>m/s</w:t>
      </w:r>
      <w:r>
        <w:rPr>
          <w:rFonts w:hint="eastAsia" w:ascii="微软雅黑" w:hAnsi="微软雅黑" w:eastAsia="微软雅黑"/>
          <w:szCs w:val="21"/>
        </w:rPr>
        <w:t>，风向为</w:t>
      </w:r>
      <w:bookmarkStart w:id="82" w:name="冬季入口边界风向"/>
      <w:r>
        <w:rPr>
          <w:rFonts w:ascii="微软雅黑" w:hAnsi="微软雅黑" w:eastAsia="微软雅黑"/>
          <w:szCs w:val="21"/>
        </w:rPr>
        <w:t>N</w:t>
      </w:r>
      <w:bookmarkEnd w:id="82"/>
      <w:r>
        <w:rPr>
          <w:rFonts w:hint="eastAsia" w:ascii="微软雅黑" w:hAnsi="微软雅黑" w:eastAsia="微软雅黑"/>
          <w:szCs w:val="21"/>
        </w:rPr>
        <w:t>。</w:t>
      </w:r>
    </w:p>
    <w:p w14:paraId="7CDEA76C">
      <w:pPr>
        <w:pStyle w:val="5"/>
      </w:pPr>
      <w:bookmarkStart w:id="83" w:name="_Toc509844751"/>
      <w:r>
        <w:rPr>
          <w:rFonts w:hint="eastAsia"/>
        </w:rPr>
        <w:t>人行区域风速达标分析</w:t>
      </w:r>
      <w:bookmarkEnd w:id="83"/>
      <w:r>
        <w:rPr>
          <w:rFonts w:hint="eastAsia"/>
        </w:rPr>
        <w:t xml:space="preserve"> </w:t>
      </w:r>
    </w:p>
    <w:p w14:paraId="4FB5451D">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人行区域</w:t>
      </w:r>
      <w:r>
        <w:rPr>
          <w:rFonts w:hint="eastAsia" w:ascii="微软雅黑" w:hAnsi="微软雅黑" w:eastAsia="微软雅黑"/>
          <w:lang w:val="en-US"/>
        </w:rPr>
        <w:t>风速分布云图，依据《绿色建筑评价标准》要求，重点关注人行走区域风场，如果有风速超标区域，图中会用速度上限值为5m/s的黑色等值线标示。</w:t>
      </w:r>
    </w:p>
    <w:p w14:paraId="1CA15A0A">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84" w:name="冬季工况人行区风速分析结论"/>
      <w:bookmarkEnd w:id="84"/>
      <w:r>
        <w:rPr>
          <w:rFonts w:ascii="微软雅黑" w:hAnsi="微软雅黑" w:eastAsia="微软雅黑"/>
          <w:lang w:val="en-US"/>
        </w:rPr>
        <w:t>未标示出超标区域，可知人行区域风速为最大值为2.51m/s，小于5m/s，</w:t>
      </w:r>
      <w:r>
        <w:rPr>
          <w:rFonts w:ascii="微软雅黑" w:hAnsi="微软雅黑" w:eastAsia="微软雅黑"/>
          <w:color w:val="0000FF"/>
          <w:lang w:val="en-US"/>
        </w:rPr>
        <w:t>满足</w:t>
      </w:r>
      <w:r>
        <w:rPr>
          <w:rFonts w:ascii="微软雅黑" w:hAnsi="微软雅黑" w:eastAsia="微软雅黑"/>
          <w:lang w:val="en-US"/>
        </w:rPr>
        <w:t>绿标要求。</w:t>
      </w:r>
    </w:p>
    <w:p w14:paraId="4F1FDB50">
      <w:pPr>
        <w:pStyle w:val="3"/>
        <w:ind w:left="-6" w:leftChars="-3" w:firstLine="4" w:firstLineChars="2"/>
        <w:jc w:val="center"/>
        <w:rPr>
          <w:rFonts w:ascii="微软雅黑" w:hAnsi="微软雅黑" w:eastAsia="微软雅黑"/>
          <w:sz w:val="20"/>
          <w:szCs w:val="20"/>
        </w:rPr>
      </w:pPr>
      <w:bookmarkStart w:id="85" w:name="冬季工况人行区风速云图"/>
      <w:bookmarkEnd w:id="85"/>
      <w:r>
        <w:drawing>
          <wp:inline distT="0" distB="0" distL="0" distR="0">
            <wp:extent cx="5667375" cy="31908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9"/>
                    <a:stretch>
                      <a:fillRect/>
                    </a:stretch>
                  </pic:blipFill>
                  <pic:spPr>
                    <a:xfrm>
                      <a:off x="0" y="0"/>
                      <a:ext cx="5667375" cy="3190875"/>
                    </a:xfrm>
                    <a:prstGeom prst="rect">
                      <a:avLst/>
                    </a:prstGeom>
                  </pic:spPr>
                </pic:pic>
              </a:graphicData>
            </a:graphic>
          </wp:inline>
        </w:drawing>
      </w:r>
    </w:p>
    <w:p w14:paraId="3C0346D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人行区域-1.5米高度水平面风速云图-冬季</w:t>
      </w:r>
    </w:p>
    <w:p w14:paraId="0D25733A">
      <w:pPr>
        <w:pStyle w:val="3"/>
        <w:ind w:firstLine="420"/>
        <w:rPr>
          <w:rFonts w:ascii="微软雅黑" w:hAnsi="微软雅黑" w:eastAsia="微软雅黑"/>
          <w:lang w:val="en-US"/>
        </w:rPr>
      </w:pPr>
    </w:p>
    <w:p w14:paraId="2904215D">
      <w:pPr>
        <w:pStyle w:val="5"/>
      </w:pPr>
      <w:bookmarkStart w:id="86" w:name="_Toc509844752"/>
      <w:r>
        <w:rPr>
          <w:rFonts w:hint="eastAsia"/>
        </w:rPr>
        <w:t>人行区域风速放大系数达标分析</w:t>
      </w:r>
      <w:bookmarkEnd w:id="86"/>
    </w:p>
    <w:p w14:paraId="2102B004">
      <w:pPr>
        <w:pStyle w:val="3"/>
        <w:ind w:firstLine="420"/>
        <w:jc w:val="left"/>
        <w:rPr>
          <w:rFonts w:ascii="微软雅黑" w:hAnsi="微软雅黑" w:eastAsia="微软雅黑"/>
          <w:lang w:val="en-US"/>
        </w:rPr>
      </w:pPr>
      <w:r>
        <w:rPr>
          <w:rFonts w:hint="eastAsia" w:ascii="微软雅黑" w:hAnsi="微软雅黑" w:eastAsia="微软雅黑"/>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图中未标示出风速放大系数超标区域，因此可知人行区域风速放大系数最大值为1.29，小于2，</w:t>
      </w:r>
      <w:r>
        <w:rPr>
          <w:rFonts w:ascii="微软雅黑" w:hAnsi="微软雅黑" w:eastAsia="微软雅黑"/>
          <w:color w:val="0000FF"/>
          <w:lang w:val="en-US"/>
        </w:rPr>
        <w:t>满足</w:t>
      </w:r>
      <w:r>
        <w:rPr>
          <w:rFonts w:ascii="微软雅黑" w:hAnsi="微软雅黑" w:eastAsia="微软雅黑"/>
          <w:lang w:val="en-US"/>
        </w:rPr>
        <w:t>绿标要求。</w:t>
      </w:r>
    </w:p>
    <w:p w14:paraId="692855B7">
      <w:pPr>
        <w:jc w:val="center"/>
        <w:rPr>
          <w:rFonts w:ascii="微软雅黑" w:hAnsi="微软雅黑" w:eastAsia="微软雅黑"/>
        </w:rPr>
      </w:pPr>
      <w:bookmarkStart w:id="88" w:name="冬季工况人行区风速放大系数云图"/>
      <w:bookmarkEnd w:id="88"/>
      <w:r>
        <w:drawing>
          <wp:inline distT="0" distB="0" distL="0" distR="0">
            <wp:extent cx="5667375" cy="31908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0"/>
                    <a:stretch>
                      <a:fillRect/>
                    </a:stretch>
                  </pic:blipFill>
                  <pic:spPr>
                    <a:xfrm>
                      <a:off x="0" y="0"/>
                      <a:ext cx="5667375" cy="3190875"/>
                    </a:xfrm>
                    <a:prstGeom prst="rect">
                      <a:avLst/>
                    </a:prstGeom>
                  </pic:spPr>
                </pic:pic>
              </a:graphicData>
            </a:graphic>
          </wp:inline>
        </w:drawing>
      </w:r>
    </w:p>
    <w:p w14:paraId="6CABC6B3">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人行区域-1.5米高度水平面风速放大系数云图-冬季</w:t>
      </w:r>
    </w:p>
    <w:p w14:paraId="481432D2">
      <w:pPr>
        <w:pStyle w:val="3"/>
        <w:ind w:firstLine="420"/>
        <w:rPr>
          <w:rFonts w:ascii="微软雅黑" w:hAnsi="微软雅黑" w:eastAsia="微软雅黑"/>
          <w:lang w:val="en-US"/>
        </w:rPr>
      </w:pPr>
    </w:p>
    <w:p w14:paraId="0691D480">
      <w:pPr>
        <w:pStyle w:val="5"/>
      </w:pPr>
      <w:r>
        <w:rPr>
          <w:rFonts w:hint="eastAsia"/>
        </w:rPr>
        <w:t>户外休息区、儿童娱乐区</w:t>
      </w:r>
      <w:r>
        <w:t>域风速达标分析</w:t>
      </w:r>
    </w:p>
    <w:p w14:paraId="6AFADB06">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户外休息区、儿童娱乐区</w:t>
      </w:r>
      <w:r>
        <w:rPr>
          <w:rFonts w:hint="eastAsia" w:ascii="微软雅黑" w:hAnsi="微软雅黑" w:eastAsia="微软雅黑"/>
          <w:lang w:val="en-US"/>
        </w:rPr>
        <w:t>风速分布云图。依据《绿色建筑评价标准》要求，需特别关注户外休息区、儿童娱乐区风场，如果有风速超标区域，图中会用速度上限值为2m/s的黑色等值线标示。</w:t>
      </w:r>
    </w:p>
    <w:p w14:paraId="3DF4D7BF">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89" w:name="冬季工况休息区风速分析结论"/>
      <w:bookmarkEnd w:id="89"/>
      <w:r>
        <w:rPr>
          <w:rFonts w:ascii="微软雅黑" w:hAnsi="微软雅黑" w:eastAsia="微软雅黑"/>
          <w:lang w:val="en-US"/>
        </w:rPr>
        <w:t>未标示出超标区域，可知户外休息区、儿童娱乐区风速最大值为1.90m/s，小于2m/s，</w:t>
      </w:r>
      <w:r>
        <w:rPr>
          <w:rFonts w:ascii="微软雅黑" w:hAnsi="微软雅黑" w:eastAsia="微软雅黑"/>
          <w:color w:val="0000FF"/>
          <w:lang w:val="en-US"/>
        </w:rPr>
        <w:t>满足</w:t>
      </w:r>
      <w:r>
        <w:rPr>
          <w:rFonts w:ascii="微软雅黑" w:hAnsi="微软雅黑" w:eastAsia="微软雅黑"/>
          <w:lang w:val="en-US"/>
        </w:rPr>
        <w:t>绿标要求。</w:t>
      </w:r>
    </w:p>
    <w:p w14:paraId="6E38327D">
      <w:pPr>
        <w:pStyle w:val="3"/>
        <w:ind w:left="-6" w:leftChars="-3" w:firstLine="4" w:firstLineChars="2"/>
        <w:jc w:val="center"/>
        <w:rPr>
          <w:rFonts w:ascii="微软雅黑" w:hAnsi="微软雅黑" w:eastAsia="微软雅黑"/>
          <w:sz w:val="20"/>
          <w:szCs w:val="20"/>
        </w:rPr>
      </w:pPr>
      <w:bookmarkStart w:id="90" w:name="冬季工况休息区风速云图"/>
      <w:bookmarkEnd w:id="90"/>
      <w:r>
        <w:drawing>
          <wp:inline distT="0" distB="0" distL="0" distR="0">
            <wp:extent cx="5667375" cy="319087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190875"/>
                    </a:xfrm>
                    <a:prstGeom prst="rect">
                      <a:avLst/>
                    </a:prstGeom>
                  </pic:spPr>
                </pic:pic>
              </a:graphicData>
            </a:graphic>
          </wp:inline>
        </w:drawing>
      </w:r>
    </w:p>
    <w:p w14:paraId="1147781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户外休息区、儿童娱乐区-1.5米高度水平面风速云图-冬季</w:t>
      </w:r>
    </w:p>
    <w:p w14:paraId="00CE1BCB">
      <w:pPr>
        <w:pStyle w:val="5"/>
      </w:pPr>
      <w:r>
        <w:rPr>
          <w:rFonts w:hint="eastAsia"/>
        </w:rPr>
        <w:t>户外休息区、儿童娱乐区风速放大系数达标</w:t>
      </w:r>
      <w:r>
        <w:t>分析</w:t>
      </w:r>
    </w:p>
    <w:p w14:paraId="644E2F5F">
      <w:pPr>
        <w:ind w:firstLine="420"/>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1" w:name="冬季工况户外休息区和儿童娱乐区风速放大系数分析结论"/>
      <w:bookmarkEnd w:id="91"/>
      <w:r>
        <w:rPr>
          <w:lang w:val="en-US"/>
        </w:rPr>
        <w:t>区域内风速放大系数最大值为0.98，</w:t>
      </w:r>
      <w:r>
        <w:rPr>
          <w:color w:val="0000FF"/>
          <w:lang w:val="en-US"/>
        </w:rPr>
        <w:t>没有</w:t>
      </w:r>
      <w:r>
        <w:rPr>
          <w:lang w:val="en-US"/>
        </w:rPr>
        <w:t>风速放大系数超限区域，</w:t>
      </w:r>
      <w:r>
        <w:rPr>
          <w:color w:val="0000FF"/>
          <w:lang w:val="en-US"/>
        </w:rPr>
        <w:t>满足</w:t>
      </w:r>
      <w:r>
        <w:rPr>
          <w:lang w:val="en-US"/>
        </w:rPr>
        <w:t>标准要求。</w:t>
      </w:r>
    </w:p>
    <w:p w14:paraId="07C59094">
      <w:pPr>
        <w:jc w:val="center"/>
        <w:rPr>
          <w:rFonts w:ascii="微软雅黑" w:hAnsi="微软雅黑" w:eastAsia="微软雅黑"/>
        </w:rPr>
      </w:pPr>
      <w:bookmarkStart w:id="92" w:name="冬季工况户外休息区和儿童娱乐区风速放大系数云图"/>
      <w:bookmarkEnd w:id="92"/>
      <w:r>
        <w:drawing>
          <wp:inline distT="0" distB="0" distL="0" distR="0">
            <wp:extent cx="5667375" cy="31908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190875"/>
                    </a:xfrm>
                    <a:prstGeom prst="rect">
                      <a:avLst/>
                    </a:prstGeom>
                  </pic:spPr>
                </pic:pic>
              </a:graphicData>
            </a:graphic>
          </wp:inline>
        </w:drawing>
      </w:r>
    </w:p>
    <w:p w14:paraId="4457DB11">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户外休息区、儿童娱乐区-1.5米高度水平面风速放大系数云图-冬季</w:t>
      </w:r>
    </w:p>
    <w:p w14:paraId="43D2843E">
      <w:pPr>
        <w:pStyle w:val="3"/>
        <w:ind w:firstLine="420"/>
        <w:rPr>
          <w:rFonts w:ascii="微软雅黑" w:hAnsi="微软雅黑" w:eastAsia="微软雅黑"/>
          <w:lang w:val="en-US"/>
        </w:rPr>
      </w:pPr>
    </w:p>
    <w:p w14:paraId="268DBE90">
      <w:pPr>
        <w:pStyle w:val="37"/>
        <w:spacing w:line="440" w:lineRule="exact"/>
        <w:ind w:firstLine="420"/>
        <w:rPr>
          <w:szCs w:val="21"/>
        </w:rPr>
      </w:pPr>
      <w:r>
        <w:rPr>
          <w:rFonts w:hint="eastAsia"/>
          <w:szCs w:val="21"/>
        </w:rPr>
        <w:t>注：</w:t>
      </w:r>
    </w:p>
    <w:p w14:paraId="2BE48D6D">
      <w:pPr>
        <w:pStyle w:val="37"/>
        <w:spacing w:line="440" w:lineRule="exact"/>
        <w:ind w:firstLine="420"/>
        <w:rPr>
          <w:szCs w:val="21"/>
        </w:rPr>
      </w:pPr>
      <w:r>
        <w:rPr>
          <w:rFonts w:hint="eastAsia"/>
          <w:szCs w:val="21"/>
        </w:rPr>
        <w:t>1）人行道及停车场等短暂停留区域定义为人行区，评价目标为避免人行走艰难；儿童娱乐区、以及庭院、游憩广场、户外休息区为较长时间停留的人活动区域，重点考察区域内的舒适性。</w:t>
      </w:r>
    </w:p>
    <w:p w14:paraId="3963C4B3">
      <w:pPr>
        <w:pStyle w:val="37"/>
        <w:spacing w:line="440" w:lineRule="exact"/>
        <w:ind w:firstLine="420"/>
        <w:rPr>
          <w:szCs w:val="21"/>
        </w:rPr>
      </w:pPr>
      <w:r>
        <w:rPr>
          <w:rFonts w:hint="eastAsia"/>
          <w:szCs w:val="21"/>
        </w:rPr>
        <w:t>2）计算域内风速分布云图中图例上限均为计算域内实际风速最大值，图例上限也可按需求在软件中调整。</w:t>
      </w:r>
    </w:p>
    <w:p w14:paraId="3571A4AD">
      <w:pPr>
        <w:pStyle w:val="37"/>
        <w:spacing w:line="440" w:lineRule="exact"/>
        <w:ind w:firstLine="420"/>
        <w:rPr>
          <w:szCs w:val="21"/>
        </w:rPr>
      </w:pPr>
      <w:r>
        <w:rPr>
          <w:rFonts w:hint="eastAsia"/>
          <w:szCs w:val="21"/>
        </w:rPr>
        <w:t>3）通常将1.5米作为一般人群的参考行走高度，也可酌情调整人行走高度。</w:t>
      </w:r>
    </w:p>
    <w:p w14:paraId="36306230">
      <w:pPr>
        <w:pStyle w:val="3"/>
        <w:ind w:firstLine="420"/>
        <w:rPr>
          <w:rFonts w:ascii="微软雅黑" w:hAnsi="微软雅黑" w:eastAsia="微软雅黑"/>
          <w:lang w:val="en-US"/>
        </w:rPr>
      </w:pPr>
    </w:p>
    <w:p w14:paraId="17A075E5">
      <w:pPr>
        <w:pStyle w:val="5"/>
      </w:pPr>
      <w:bookmarkStart w:id="93" w:name="_Toc509844753"/>
      <w:r>
        <w:rPr>
          <w:rFonts w:hint="eastAsia"/>
        </w:rPr>
        <w:t>冬季工况风速/风速放大系数达标</w:t>
      </w:r>
      <w:bookmarkEnd w:id="93"/>
      <w:r>
        <w:rPr>
          <w:rFonts w:hint="eastAsia"/>
        </w:rPr>
        <w:t>结果汇总</w:t>
      </w:r>
    </w:p>
    <w:p w14:paraId="6447FF2C">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5106246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8"/>
        <w:tblW w:w="8522" w:type="dxa"/>
        <w:jc w:val="center"/>
        <w:tblLayout w:type="autofit"/>
        <w:tblCellMar>
          <w:top w:w="0" w:type="dxa"/>
          <w:left w:w="108" w:type="dxa"/>
          <w:bottom w:w="0" w:type="dxa"/>
          <w:right w:w="108" w:type="dxa"/>
        </w:tblCellMar>
      </w:tblPr>
      <w:tblGrid>
        <w:gridCol w:w="3823"/>
        <w:gridCol w:w="1581"/>
        <w:gridCol w:w="1843"/>
        <w:gridCol w:w="1275"/>
      </w:tblGrid>
      <w:tr w14:paraId="53BBD0EA">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9145301">
            <w:pPr>
              <w:spacing w:line="240" w:lineRule="auto"/>
              <w:ind w:firstLine="22" w:firstLineChars="12"/>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58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1DAD944">
            <w:pPr>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w:t>
            </w:r>
            <w:r>
              <w:rPr>
                <w:rFonts w:hint="eastAsia" w:ascii="微软雅黑" w:hAnsi="微软雅黑" w:eastAsia="微软雅黑" w:cs="宋体"/>
                <w:b/>
                <w:sz w:val="18"/>
                <w:szCs w:val="18"/>
              </w:rPr>
              <w:t>限值</w:t>
            </w:r>
          </w:p>
        </w:tc>
        <w:tc>
          <w:tcPr>
            <w:tcW w:w="184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DEEB57F">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29198C7C">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5F4F119E">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0C2452FC">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6E912C6A">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0F2874F4">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4402680B">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5038391F">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225DF">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F07E04D">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141BBC18">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D5C211F">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r w14:paraId="4A3A01C4">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E56FC">
            <w:pPr>
              <w:jc w:val="center"/>
              <w:rPr>
                <w:rFonts w:ascii="微软雅黑" w:hAnsi="微软雅黑" w:eastAsia="微软雅黑"/>
                <w:sz w:val="18"/>
                <w:szCs w:val="18"/>
              </w:rPr>
            </w:pPr>
            <w:r>
              <w:rPr>
                <w:rFonts w:hint="eastAsia" w:ascii="微软雅黑" w:hAnsi="微软雅黑" w:eastAsia="微软雅黑"/>
                <w:sz w:val="18"/>
                <w:szCs w:val="18"/>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0425DD50">
            <w:pPr>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7A9A1FF">
            <w:pPr>
              <w:spacing w:line="240" w:lineRule="auto"/>
              <w:jc w:val="center"/>
              <w:rPr>
                <w:rFonts w:ascii="微软雅黑" w:hAnsi="微软雅黑" w:eastAsia="微软雅黑" w:cs="宋体"/>
                <w:color w:val="000000"/>
                <w:sz w:val="18"/>
                <w:szCs w:val="18"/>
                <w:lang w:val="en-US"/>
              </w:rPr>
            </w:pPr>
            <w:bookmarkStart w:id="98" w:name="冬季工况休息区风速是否有超限区域"/>
            <w:r>
              <w:rPr>
                <w:rFonts w:hint="eastAsia" w:ascii="微软雅黑" w:hAnsi="微软雅黑" w:eastAsia="微软雅黑" w:cs="宋体"/>
                <w:color w:val="000000"/>
                <w:sz w:val="18"/>
                <w:szCs w:val="18"/>
                <w:lang w:val="en-US"/>
              </w:rPr>
              <w:t>否</w:t>
            </w:r>
            <w:bookmarkEnd w:id="98"/>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41CEA7E">
            <w:pPr>
              <w:spacing w:line="240" w:lineRule="auto"/>
              <w:jc w:val="center"/>
              <w:rPr>
                <w:rFonts w:ascii="微软雅黑" w:hAnsi="微软雅黑" w:eastAsia="微软雅黑" w:cs="宋体"/>
                <w:color w:val="000000"/>
                <w:sz w:val="18"/>
                <w:szCs w:val="18"/>
                <w:lang w:val="en-US"/>
              </w:rPr>
            </w:pPr>
            <w:bookmarkStart w:id="99" w:name="冬季工况休息区风速达标判断"/>
            <w:r>
              <w:rPr>
                <w:rFonts w:hint="eastAsia" w:ascii="微软雅黑" w:hAnsi="微软雅黑" w:eastAsia="微软雅黑" w:cs="宋体"/>
                <w:color w:val="000000"/>
                <w:sz w:val="18"/>
                <w:szCs w:val="18"/>
                <w:lang w:val="en-US"/>
              </w:rPr>
              <w:t>是</w:t>
            </w:r>
            <w:bookmarkEnd w:id="99"/>
          </w:p>
        </w:tc>
      </w:tr>
      <w:tr w14:paraId="78B723C2">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88D8B">
            <w:pPr>
              <w:jc w:val="center"/>
              <w:rPr>
                <w:rFonts w:ascii="微软雅黑" w:hAnsi="微软雅黑" w:eastAsia="微软雅黑" w:cs="宋体"/>
                <w:sz w:val="18"/>
                <w:szCs w:val="18"/>
              </w:rPr>
            </w:pPr>
            <w:r>
              <w:rPr>
                <w:rFonts w:hint="eastAsia" w:ascii="微软雅黑" w:hAnsi="微软雅黑" w:eastAsia="微软雅黑"/>
                <w:sz w:val="18"/>
                <w:szCs w:val="18"/>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8654824">
            <w:pPr>
              <w:jc w:val="center"/>
              <w:rPr>
                <w:rFonts w:ascii="微软雅黑" w:hAnsi="微软雅黑" w:eastAsia="微软雅黑" w:cs="宋体"/>
                <w:sz w:val="18"/>
                <w:szCs w:val="18"/>
              </w:rPr>
            </w:pPr>
            <w:r>
              <w:rPr>
                <w:rFonts w:hint="eastAsia" w:ascii="微软雅黑" w:hAnsi="微软雅黑" w:eastAsia="微软雅黑" w:cs="宋体"/>
                <w:sz w:val="18"/>
                <w:szCs w:val="18"/>
              </w:rPr>
              <w:t>＜</w:t>
            </w:r>
            <w:bookmarkStart w:id="100" w:name="冬季工况休息区和儿童娱乐区风速放大系数标准要求限值"/>
            <w:r>
              <w:rPr>
                <w:rFonts w:ascii="微软雅黑" w:hAnsi="微软雅黑" w:eastAsia="微软雅黑" w:cs="宋体"/>
                <w:sz w:val="18"/>
                <w:szCs w:val="18"/>
              </w:rPr>
              <w:t>2</w:t>
            </w:r>
            <w:bookmarkEnd w:id="100"/>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10CF1DC">
            <w:pPr>
              <w:spacing w:line="240" w:lineRule="auto"/>
              <w:jc w:val="center"/>
              <w:rPr>
                <w:rFonts w:ascii="微软雅黑" w:hAnsi="微软雅黑" w:eastAsia="微软雅黑" w:cs="宋体"/>
                <w:color w:val="000000"/>
                <w:sz w:val="18"/>
                <w:szCs w:val="18"/>
                <w:lang w:val="en-US"/>
              </w:rPr>
            </w:pPr>
            <w:bookmarkStart w:id="101" w:name="冬季工况户外休息区风速放大系数是否有超限区域"/>
            <w:r>
              <w:rPr>
                <w:rFonts w:hint="eastAsia" w:ascii="微软雅黑" w:hAnsi="微软雅黑" w:eastAsia="微软雅黑" w:cs="宋体"/>
                <w:color w:val="000000"/>
                <w:sz w:val="18"/>
                <w:szCs w:val="18"/>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C74DE9F">
            <w:pPr>
              <w:spacing w:line="240" w:lineRule="auto"/>
              <w:jc w:val="center"/>
              <w:rPr>
                <w:rFonts w:ascii="微软雅黑" w:hAnsi="微软雅黑" w:eastAsia="微软雅黑" w:cs="宋体"/>
                <w:color w:val="000000"/>
                <w:sz w:val="18"/>
                <w:szCs w:val="18"/>
                <w:lang w:val="en-US"/>
              </w:rPr>
            </w:pPr>
            <w:bookmarkStart w:id="102" w:name="冬季工况户外休息区风速放大系数达标判断"/>
            <w:r>
              <w:rPr>
                <w:rFonts w:hint="eastAsia" w:ascii="微软雅黑" w:hAnsi="微软雅黑" w:eastAsia="微软雅黑" w:cs="宋体"/>
                <w:color w:val="000000"/>
                <w:sz w:val="18"/>
                <w:szCs w:val="18"/>
                <w:lang w:val="en-US"/>
              </w:rPr>
              <w:t>是</w:t>
            </w:r>
            <w:bookmarkEnd w:id="102"/>
          </w:p>
        </w:tc>
      </w:tr>
    </w:tbl>
    <w:p w14:paraId="387C7BF3">
      <w:pPr>
        <w:rPr>
          <w:rFonts w:ascii="微软雅黑" w:hAnsi="微软雅黑" w:eastAsia="微软雅黑"/>
        </w:rPr>
      </w:pPr>
    </w:p>
    <w:p w14:paraId="6D4B659B">
      <w:pPr>
        <w:pStyle w:val="5"/>
      </w:pPr>
      <w:r>
        <w:rPr>
          <w:rFonts w:hint="eastAsia"/>
        </w:rPr>
        <w:t>建筑迎风面和背风面风压分析</w:t>
      </w:r>
      <w:bookmarkEnd w:id="14"/>
    </w:p>
    <w:p w14:paraId="4C9C98C8">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64BFB136">
      <w:pPr>
        <w:pStyle w:val="6"/>
        <w:rPr>
          <w:lang w:val="en-US"/>
        </w:rPr>
      </w:pPr>
      <w:r>
        <w:rPr>
          <w:rFonts w:hint="eastAsia"/>
          <w:lang w:val="en-US"/>
        </w:rPr>
        <w:t>建筑迎风面和背风面风压差计算方法</w:t>
      </w:r>
    </w:p>
    <w:p w14:paraId="1F4A433F">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本项目采用面积加权法对建筑迎风面和背风面对应门窗的风压值进行计算，最后获得迎背风面门窗的风压差值，以下图为例说明具体计算过程。</w:t>
      </w:r>
    </w:p>
    <w:p w14:paraId="289F97C0">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
                    <pic:cNvPicPr>
                      <a:picLocks noChangeAspect="1" noChangeArrowheads="1"/>
                    </pic:cNvPicPr>
                  </pic:nvPicPr>
                  <pic:blipFill>
                    <a:blip r:embed="rId33">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229DCC7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建筑平面图</w:t>
      </w:r>
    </w:p>
    <w:p w14:paraId="75E3AD4F">
      <w:pPr>
        <w:pStyle w:val="3"/>
        <w:ind w:firstLine="420"/>
        <w:rPr>
          <w:rFonts w:ascii="微软雅黑" w:hAnsi="微软雅黑" w:eastAsia="微软雅黑"/>
          <w:lang w:val="en-US"/>
        </w:rPr>
      </w:pPr>
      <w:r>
        <w:rPr>
          <w:rFonts w:hint="eastAsia" w:ascii="微软雅黑" w:hAnsi="微软雅黑" w:eastAsia="微软雅黑"/>
          <w:lang w:val="en-US"/>
        </w:rPr>
        <w:t>上图中，迎风面窗户C1，C2，C3的平均风压值，通过每个窗户的平均风压和其窗户面积进行加权平均计算， 如下式：</w:t>
      </w:r>
    </w:p>
    <w:tbl>
      <w:tblPr>
        <w:tblStyle w:val="28"/>
        <w:tblW w:w="8359" w:type="dxa"/>
        <w:tblInd w:w="0" w:type="dxa"/>
        <w:tblLayout w:type="autofit"/>
        <w:tblCellMar>
          <w:top w:w="0" w:type="dxa"/>
          <w:left w:w="108" w:type="dxa"/>
          <w:bottom w:w="0" w:type="dxa"/>
          <w:right w:w="108" w:type="dxa"/>
        </w:tblCellMar>
      </w:tblPr>
      <w:tblGrid>
        <w:gridCol w:w="6658"/>
        <w:gridCol w:w="1701"/>
      </w:tblGrid>
      <w:tr w14:paraId="5F2D2031">
        <w:tblPrEx>
          <w:tblCellMar>
            <w:top w:w="0" w:type="dxa"/>
            <w:left w:w="108" w:type="dxa"/>
            <w:bottom w:w="0" w:type="dxa"/>
            <w:right w:w="108" w:type="dxa"/>
          </w:tblCellMar>
        </w:tblPrEx>
        <w:tc>
          <w:tcPr>
            <w:tcW w:w="6658" w:type="dxa"/>
            <w:shd w:val="clear" w:color="auto" w:fill="auto"/>
          </w:tcPr>
          <w:p w14:paraId="66812BAD">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1701" w:type="dxa"/>
            <w:shd w:val="clear" w:color="auto" w:fill="auto"/>
            <w:vAlign w:val="center"/>
          </w:tcPr>
          <w:p w14:paraId="41DF3398">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0203F73D">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3EC487B8">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16D88E31">
      <w:pPr>
        <w:pStyle w:val="6"/>
      </w:pPr>
      <w:r>
        <w:rPr>
          <w:rFonts w:hint="eastAsia"/>
        </w:rPr>
        <w:t>建筑迎风面和背风面风压云图</w:t>
      </w:r>
    </w:p>
    <w:p w14:paraId="3ADE34DD">
      <w:pPr>
        <w:jc w:val="center"/>
        <w:rPr>
          <w:rFonts w:ascii="微软雅黑" w:hAnsi="微软雅黑" w:eastAsia="微软雅黑"/>
          <w:lang w:val="en-US"/>
        </w:rPr>
      </w:pPr>
      <w:bookmarkStart w:id="103" w:name="冬季工况建筑迎风面风压云图"/>
      <w:bookmarkEnd w:id="103"/>
      <w:r>
        <w:drawing>
          <wp:inline distT="0" distB="0" distL="0" distR="0">
            <wp:extent cx="5667375" cy="32861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4"/>
                    <a:stretch>
                      <a:fillRect/>
                    </a:stretch>
                  </pic:blipFill>
                  <pic:spPr>
                    <a:xfrm>
                      <a:off x="0" y="0"/>
                      <a:ext cx="5667375" cy="3286125"/>
                    </a:xfrm>
                    <a:prstGeom prst="rect">
                      <a:avLst/>
                    </a:prstGeom>
                  </pic:spPr>
                </pic:pic>
              </a:graphicData>
            </a:graphic>
          </wp:inline>
        </w:drawing>
      </w:r>
    </w:p>
    <w:p w14:paraId="2A66508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3415BA4B">
      <w:pPr>
        <w:jc w:val="center"/>
        <w:rPr>
          <w:rFonts w:ascii="微软雅黑" w:hAnsi="微软雅黑" w:eastAsia="微软雅黑"/>
        </w:rPr>
      </w:pPr>
      <w:bookmarkStart w:id="104" w:name="冬季工况建筑背风面风压云图"/>
      <w:bookmarkEnd w:id="104"/>
      <w:r>
        <w:drawing>
          <wp:inline distT="0" distB="0" distL="0" distR="0">
            <wp:extent cx="5667375" cy="3295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35"/>
                    <a:stretch>
                      <a:fillRect/>
                    </a:stretch>
                  </pic:blipFill>
                  <pic:spPr>
                    <a:xfrm>
                      <a:off x="0" y="0"/>
                      <a:ext cx="5667375" cy="3295650"/>
                    </a:xfrm>
                    <a:prstGeom prst="rect">
                      <a:avLst/>
                    </a:prstGeom>
                  </pic:spPr>
                </pic:pic>
              </a:graphicData>
            </a:graphic>
          </wp:inline>
        </w:drawing>
      </w:r>
    </w:p>
    <w:p w14:paraId="329AFBD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7</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6FCE4C5F">
      <w:pPr>
        <w:jc w:val="center"/>
        <w:rPr>
          <w:rFonts w:ascii="微软雅黑" w:hAnsi="微软雅黑" w:eastAsia="微软雅黑"/>
          <w:sz w:val="20"/>
        </w:rPr>
      </w:pPr>
      <w:bookmarkStart w:id="105" w:name="建筑迎背风面风压差表_新增"/>
      <w:bookmarkEnd w:id="105"/>
      <w:bookmarkStart w:id="106" w:name="建筑迎背风面风压差表"/>
    </w:p>
    <w:bookmarkEnd w:id="106"/>
    <w:p w14:paraId="17EAC9BD">
      <w:pPr>
        <w:pStyle w:val="6"/>
      </w:pPr>
      <w:r>
        <w:rPr>
          <w:rFonts w:hint="eastAsia"/>
        </w:rPr>
        <w:t>建筑迎风和背风面风压差结论汇总</w:t>
      </w:r>
    </w:p>
    <w:p w14:paraId="500DB7A1">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16F77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12030E46">
            <w:pPr>
              <w:jc w:val="center"/>
              <w:rPr>
                <w:rFonts w:ascii="微软雅黑" w:hAnsi="微软雅黑" w:eastAsia="微软雅黑"/>
                <w:sz w:val="18"/>
                <w:szCs w:val="18"/>
                <w:lang w:val="en-US"/>
              </w:rPr>
            </w:pPr>
            <w:bookmarkStart w:id="107" w:name="建筑迎风和背风面风压差结论汇总表"/>
            <w:r>
              <w:rPr>
                <w:rFonts w:hint="eastAsia" w:ascii="微软雅黑" w:hAnsi="微软雅黑" w:eastAsia="微软雅黑"/>
                <w:sz w:val="18"/>
                <w:szCs w:val="18"/>
                <w:lang w:val="en-US"/>
              </w:rPr>
              <w:t>建筑编号</w:t>
            </w:r>
          </w:p>
        </w:tc>
        <w:tc>
          <w:tcPr>
            <w:tcW w:w="1697" w:type="dxa"/>
            <w:shd w:val="clear" w:color="auto" w:fill="E6E6E6"/>
            <w:vAlign w:val="center"/>
          </w:tcPr>
          <w:p w14:paraId="7085C60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迎风面平均风压(Pa)</w:t>
            </w:r>
          </w:p>
        </w:tc>
        <w:tc>
          <w:tcPr>
            <w:tcW w:w="1697" w:type="dxa"/>
            <w:shd w:val="clear" w:color="auto" w:fill="E6E6E6"/>
            <w:vAlign w:val="center"/>
          </w:tcPr>
          <w:p w14:paraId="7EE531D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背风面平均风压(Pa)</w:t>
            </w:r>
          </w:p>
        </w:tc>
        <w:tc>
          <w:tcPr>
            <w:tcW w:w="2401" w:type="dxa"/>
            <w:shd w:val="clear" w:color="auto" w:fill="E6E6E6"/>
            <w:vAlign w:val="center"/>
          </w:tcPr>
          <w:p w14:paraId="672456F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建筑迎风和背风面风压差(Pa)</w:t>
            </w:r>
          </w:p>
        </w:tc>
        <w:tc>
          <w:tcPr>
            <w:tcW w:w="1151" w:type="dxa"/>
            <w:shd w:val="clear" w:color="auto" w:fill="E6E6E6"/>
            <w:vAlign w:val="center"/>
          </w:tcPr>
          <w:p w14:paraId="6317572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是否达标</w:t>
            </w:r>
          </w:p>
        </w:tc>
      </w:tr>
      <w:tr w14:paraId="4243D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0B559075">
            <w:pPr>
              <w:jc w:val="center"/>
              <w:rPr>
                <w:rFonts w:ascii="微软雅黑" w:hAnsi="微软雅黑" w:eastAsia="微软雅黑"/>
                <w:sz w:val="18"/>
                <w:szCs w:val="18"/>
                <w:lang w:val="en-US"/>
              </w:rPr>
            </w:pPr>
            <w:r>
              <w:rPr>
                <w:rFonts w:ascii="微软雅黑" w:hAnsi="微软雅黑" w:eastAsia="微软雅黑"/>
                <w:sz w:val="18"/>
                <w:szCs w:val="18"/>
                <w:lang w:val="en-US"/>
              </w:rPr>
              <w:t>单体2</w:t>
            </w:r>
          </w:p>
        </w:tc>
        <w:tc>
          <w:tcPr>
            <w:tcW w:w="1697" w:type="dxa"/>
            <w:shd w:val="clear" w:color="auto" w:fill="auto"/>
            <w:vAlign w:val="center"/>
          </w:tcPr>
          <w:p w14:paraId="00EC9983">
            <w:pPr>
              <w:jc w:val="center"/>
              <w:rPr>
                <w:rFonts w:ascii="微软雅黑" w:hAnsi="微软雅黑" w:eastAsia="微软雅黑"/>
                <w:sz w:val="18"/>
                <w:szCs w:val="18"/>
                <w:lang w:val="en-US"/>
              </w:rPr>
            </w:pPr>
            <w:r>
              <w:rPr>
                <w:rFonts w:ascii="微软雅黑" w:hAnsi="微软雅黑" w:eastAsia="微软雅黑"/>
                <w:sz w:val="18"/>
                <w:szCs w:val="18"/>
                <w:lang w:val="en-US"/>
              </w:rPr>
              <w:t>0.95</w:t>
            </w:r>
          </w:p>
        </w:tc>
        <w:tc>
          <w:tcPr>
            <w:tcW w:w="1697" w:type="dxa"/>
            <w:shd w:val="clear" w:color="auto" w:fill="auto"/>
            <w:vAlign w:val="center"/>
          </w:tcPr>
          <w:p w14:paraId="371076B4">
            <w:pPr>
              <w:jc w:val="center"/>
              <w:rPr>
                <w:rFonts w:ascii="微软雅黑" w:hAnsi="微软雅黑" w:eastAsia="微软雅黑"/>
                <w:sz w:val="18"/>
                <w:szCs w:val="18"/>
                <w:lang w:val="en-US"/>
              </w:rPr>
            </w:pPr>
            <w:r>
              <w:rPr>
                <w:rFonts w:ascii="微软雅黑" w:hAnsi="微软雅黑" w:eastAsia="微软雅黑"/>
                <w:sz w:val="18"/>
                <w:szCs w:val="18"/>
                <w:lang w:val="en-US"/>
              </w:rPr>
              <w:t>-1.59</w:t>
            </w:r>
          </w:p>
        </w:tc>
        <w:tc>
          <w:tcPr>
            <w:tcW w:w="2401" w:type="dxa"/>
            <w:shd w:val="clear" w:color="auto" w:fill="auto"/>
            <w:vAlign w:val="center"/>
          </w:tcPr>
          <w:p w14:paraId="6852E63E">
            <w:pPr>
              <w:jc w:val="center"/>
              <w:rPr>
                <w:rFonts w:ascii="微软雅黑" w:hAnsi="微软雅黑" w:eastAsia="微软雅黑"/>
                <w:sz w:val="18"/>
                <w:szCs w:val="18"/>
                <w:lang w:val="en-US"/>
              </w:rPr>
            </w:pPr>
            <w:r>
              <w:rPr>
                <w:rFonts w:ascii="微软雅黑" w:hAnsi="微软雅黑" w:eastAsia="微软雅黑"/>
                <w:sz w:val="18"/>
                <w:szCs w:val="18"/>
                <w:lang w:val="en-US"/>
              </w:rPr>
              <w:t>2.54</w:t>
            </w:r>
          </w:p>
        </w:tc>
        <w:tc>
          <w:tcPr>
            <w:tcW w:w="1151" w:type="dxa"/>
            <w:shd w:val="clear" w:color="auto" w:fill="auto"/>
            <w:vAlign w:val="center"/>
          </w:tcPr>
          <w:p w14:paraId="2916C54B">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bookmarkEnd w:id="107"/>
    </w:tbl>
    <w:p w14:paraId="482B517C">
      <w:pPr>
        <w:rPr>
          <w:rFonts w:ascii="微软雅黑" w:hAnsi="微软雅黑" w:eastAsia="微软雅黑"/>
          <w:lang w:val="en-US"/>
        </w:rPr>
      </w:pPr>
      <w:bookmarkStart w:id="108" w:name="建筑迎风和背风面风压差结论汇总结论"/>
      <w:bookmarkEnd w:id="108"/>
      <w:r>
        <w:rPr>
          <w:rFonts w:ascii="微软雅黑" w:hAnsi="微软雅黑" w:eastAsia="微软雅黑"/>
          <w:lang w:val="en-US"/>
        </w:rPr>
        <w:t>结论：本项目中参评建筑</w:t>
      </w:r>
      <w:r>
        <w:rPr>
          <w:rFonts w:ascii="微软雅黑" w:hAnsi="微软雅黑" w:eastAsia="微软雅黑"/>
          <w:b/>
          <w:color w:val="0000FF"/>
          <w:lang w:val="en-US"/>
        </w:rPr>
        <w:t>满足</w:t>
      </w:r>
      <w:r>
        <w:rPr>
          <w:rFonts w:ascii="微软雅黑" w:hAnsi="微软雅黑" w:eastAsia="微软雅黑"/>
          <w:lang w:val="en-US"/>
        </w:rPr>
        <w:t>“除迎风第一排建筑外，建筑迎风面与背风面表面风压差不超过5Pa”的要求。</w:t>
      </w:r>
    </w:p>
    <w:p w14:paraId="678C236C">
      <w:pPr>
        <w:rPr>
          <w:rFonts w:ascii="微软雅黑" w:hAnsi="微软雅黑" w:eastAsia="微软雅黑"/>
          <w:lang w:val="en-US"/>
        </w:rPr>
      </w:pPr>
      <w:r>
        <w:rPr>
          <w:rFonts w:ascii="微软雅黑" w:hAnsi="微软雅黑" w:eastAsia="微软雅黑"/>
          <w:b/>
          <w:color w:val="000000"/>
          <w:lang w:val="en-US"/>
        </w:rPr>
        <w:t>说明：所有单体建筑各层迎风和背风面风压差信息详见附录。</w:t>
      </w:r>
    </w:p>
    <w:p w14:paraId="0951B5D1">
      <w:pPr>
        <w:rPr>
          <w:lang w:val="en-US"/>
        </w:rPr>
      </w:pPr>
      <w:bookmarkStart w:id="109" w:name="冬季工况"/>
      <w:bookmarkEnd w:id="109"/>
      <w:r>
        <w:rPr>
          <w:rFonts w:hint="eastAsia"/>
          <w:lang w:val="en-US"/>
        </w:rPr>
        <w:t xml:space="preserve"> </w:t>
      </w:r>
    </w:p>
    <w:p w14:paraId="4A22EBD5">
      <w:pPr>
        <w:rPr>
          <w:lang w:val="en-US"/>
        </w:rPr>
      </w:pPr>
      <w:bookmarkStart w:id="110" w:name="其他工况"/>
      <w:bookmarkEnd w:id="110"/>
      <w:r>
        <w:rPr>
          <w:rFonts w:hint="eastAsia"/>
          <w:lang w:val="en-US"/>
        </w:rPr>
        <w:t xml:space="preserve"> </w:t>
      </w:r>
    </w:p>
    <w:p w14:paraId="3F4FB2BF">
      <w:pPr>
        <w:pStyle w:val="2"/>
      </w:pPr>
      <w:bookmarkStart w:id="111" w:name="_Toc509844764"/>
      <w:bookmarkStart w:id="112" w:name="_Toc7609"/>
      <w:r>
        <w:rPr>
          <w:rFonts w:hint="eastAsia"/>
        </w:rPr>
        <w:t>结论</w:t>
      </w:r>
      <w:bookmarkEnd w:id="111"/>
      <w:bookmarkEnd w:id="112"/>
    </w:p>
    <w:p w14:paraId="4B315A0F">
      <w:pPr>
        <w:pStyle w:val="4"/>
      </w:pPr>
      <w:bookmarkStart w:id="113" w:name="_Toc9522"/>
      <w:bookmarkStart w:id="114" w:name="_Toc509844765"/>
      <w:r>
        <w:rPr>
          <w:rFonts w:hint="eastAsia"/>
        </w:rPr>
        <w:t>冬季工况达标判断</w:t>
      </w:r>
      <w:bookmarkEnd w:id="113"/>
      <w:bookmarkEnd w:id="114"/>
      <w:bookmarkStart w:id="115" w:name="_Toc509844766"/>
      <w:bookmarkEnd w:id="115"/>
    </w:p>
    <w:p w14:paraId="27F4D8BA">
      <w:pPr>
        <w:pStyle w:val="3"/>
        <w:spacing w:line="240" w:lineRule="atLeast"/>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冬季工况达标判断表</w:t>
      </w:r>
    </w:p>
    <w:tbl>
      <w:tblPr>
        <w:tblStyle w:val="28"/>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09"/>
        <w:gridCol w:w="2127"/>
        <w:gridCol w:w="1258"/>
        <w:gridCol w:w="992"/>
      </w:tblGrid>
      <w:tr w14:paraId="7A28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E6E6E6"/>
            <w:vAlign w:val="center"/>
          </w:tcPr>
          <w:p w14:paraId="769D502D">
            <w:pPr>
              <w:rPr>
                <w:sz w:val="18"/>
                <w:szCs w:val="18"/>
                <w:lang w:val="en-US"/>
              </w:rPr>
            </w:pPr>
            <w:r>
              <w:rPr>
                <w:rFonts w:hint="eastAsia"/>
                <w:sz w:val="18"/>
                <w:szCs w:val="18"/>
                <w:lang w:val="en-US"/>
              </w:rPr>
              <w:t>评价项目</w:t>
            </w:r>
          </w:p>
        </w:tc>
        <w:tc>
          <w:tcPr>
            <w:tcW w:w="2409" w:type="dxa"/>
            <w:shd w:val="clear" w:color="auto" w:fill="E6E6E6"/>
          </w:tcPr>
          <w:p w14:paraId="7F5FF6FD">
            <w:pPr>
              <w:rPr>
                <w:sz w:val="18"/>
                <w:szCs w:val="18"/>
                <w:lang w:val="en-US"/>
              </w:rPr>
            </w:pPr>
            <w:r>
              <w:rPr>
                <w:rFonts w:hint="eastAsia"/>
                <w:sz w:val="18"/>
                <w:szCs w:val="18"/>
                <w:lang w:val="en-US"/>
              </w:rPr>
              <w:t>标准要求</w:t>
            </w:r>
          </w:p>
        </w:tc>
        <w:tc>
          <w:tcPr>
            <w:tcW w:w="2127" w:type="dxa"/>
            <w:shd w:val="clear" w:color="auto" w:fill="E6E6E6"/>
            <w:vAlign w:val="center"/>
          </w:tcPr>
          <w:p w14:paraId="65CB30D7">
            <w:pPr>
              <w:rPr>
                <w:sz w:val="18"/>
                <w:szCs w:val="18"/>
                <w:lang w:val="en-US"/>
              </w:rPr>
            </w:pPr>
            <w:r>
              <w:rPr>
                <w:rFonts w:hint="eastAsia"/>
                <w:sz w:val="18"/>
                <w:szCs w:val="18"/>
                <w:lang w:val="en-US"/>
              </w:rPr>
              <w:t>项目计算结果</w:t>
            </w:r>
          </w:p>
        </w:tc>
        <w:tc>
          <w:tcPr>
            <w:tcW w:w="1258" w:type="dxa"/>
            <w:shd w:val="clear" w:color="auto" w:fill="E6E6E6"/>
          </w:tcPr>
          <w:p w14:paraId="28DF595C">
            <w:pPr>
              <w:rPr>
                <w:sz w:val="18"/>
                <w:szCs w:val="18"/>
                <w:lang w:val="en-US"/>
              </w:rPr>
            </w:pPr>
            <w:r>
              <w:rPr>
                <w:rFonts w:hint="eastAsia"/>
                <w:sz w:val="18"/>
                <w:szCs w:val="18"/>
                <w:lang w:val="en-US"/>
              </w:rPr>
              <w:t>达标判定</w:t>
            </w:r>
          </w:p>
        </w:tc>
        <w:tc>
          <w:tcPr>
            <w:tcW w:w="992" w:type="dxa"/>
            <w:shd w:val="clear" w:color="auto" w:fill="E6E6E6"/>
          </w:tcPr>
          <w:p w14:paraId="7DF283F7">
            <w:pPr>
              <w:rPr>
                <w:sz w:val="18"/>
                <w:szCs w:val="18"/>
                <w:lang w:val="en-US"/>
              </w:rPr>
            </w:pPr>
            <w:r>
              <w:rPr>
                <w:rFonts w:hint="eastAsia"/>
                <w:sz w:val="18"/>
                <w:szCs w:val="18"/>
                <w:lang w:val="en-US"/>
              </w:rPr>
              <w:t>得分</w:t>
            </w:r>
          </w:p>
        </w:tc>
      </w:tr>
      <w:tr w14:paraId="6BCB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3F14256D">
            <w:pPr>
              <w:spacing w:line="300" w:lineRule="exact"/>
              <w:rPr>
                <w:sz w:val="18"/>
                <w:szCs w:val="18"/>
                <w:lang w:val="en-US"/>
              </w:rPr>
            </w:pPr>
            <w:r>
              <w:rPr>
                <w:rFonts w:hint="eastAsia"/>
                <w:sz w:val="18"/>
                <w:szCs w:val="18"/>
                <w:lang w:val="en-US"/>
              </w:rPr>
              <w:t>风速</w:t>
            </w:r>
          </w:p>
        </w:tc>
        <w:tc>
          <w:tcPr>
            <w:tcW w:w="2409" w:type="dxa"/>
            <w:vMerge w:val="restart"/>
            <w:shd w:val="clear" w:color="auto" w:fill="auto"/>
            <w:vAlign w:val="center"/>
          </w:tcPr>
          <w:p w14:paraId="3CDD5B8B">
            <w:pPr>
              <w:spacing w:line="300" w:lineRule="exact"/>
              <w:jc w:val="cente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6" w:name="标准要求冬季风速得分"/>
            <w:r>
              <w:rPr>
                <w:rFonts w:hint="eastAsia"/>
                <w:sz w:val="18"/>
                <w:szCs w:val="18"/>
                <w:lang w:val="en-US"/>
              </w:rPr>
              <w:t>3</w:t>
            </w:r>
            <w:bookmarkEnd w:id="116"/>
            <w:r>
              <w:rPr>
                <w:rFonts w:hint="eastAsia"/>
                <w:sz w:val="18"/>
                <w:szCs w:val="18"/>
                <w:lang w:val="en-US"/>
              </w:rPr>
              <w:t>分；</w:t>
            </w:r>
          </w:p>
        </w:tc>
        <w:tc>
          <w:tcPr>
            <w:tcW w:w="2127" w:type="dxa"/>
            <w:shd w:val="clear" w:color="auto" w:fill="auto"/>
            <w:vAlign w:val="center"/>
          </w:tcPr>
          <w:p w14:paraId="286CED46">
            <w:pPr>
              <w:spacing w:line="300" w:lineRule="exact"/>
              <w:jc w:val="center"/>
              <w:rPr>
                <w:sz w:val="18"/>
                <w:szCs w:val="18"/>
                <w:lang w:val="en-US"/>
              </w:rPr>
            </w:pPr>
            <w:bookmarkStart w:id="117" w:name="冬季风速结果所有文字"/>
            <w:r>
              <w:rPr>
                <w:rFonts w:hint="eastAsia"/>
                <w:sz w:val="18"/>
                <w:szCs w:val="18"/>
                <w:lang w:val="en-US"/>
              </w:rPr>
              <w:t>人行区</w:t>
            </w:r>
            <w:bookmarkStart w:id="118" w:name="冬季风速结果"/>
            <w:r>
              <w:t>没有出现</w:t>
            </w:r>
            <w:bookmarkEnd w:id="118"/>
            <w:r>
              <w:rPr>
                <w:rFonts w:hint="eastAsia"/>
                <w:sz w:val="18"/>
                <w:szCs w:val="18"/>
                <w:lang w:val="en-US"/>
              </w:rPr>
              <w:t>风速大于</w:t>
            </w:r>
            <w:r>
              <w:rPr>
                <w:sz w:val="18"/>
                <w:szCs w:val="18"/>
                <w:lang w:val="en-US"/>
              </w:rPr>
              <w:t>5m/s</w:t>
            </w:r>
            <w:r>
              <w:rPr>
                <w:rFonts w:hint="eastAsia"/>
                <w:sz w:val="18"/>
                <w:szCs w:val="18"/>
                <w:lang w:val="en-US"/>
              </w:rPr>
              <w:t>的区域，户外休息区、儿童娱乐区</w:t>
            </w:r>
            <w:bookmarkStart w:id="119" w:name="冬季风速结果2"/>
            <w:r>
              <w:t>没有出现</w:t>
            </w:r>
            <w:bookmarkEnd w:id="119"/>
            <w:r>
              <w:rPr>
                <w:rFonts w:hint="eastAsia"/>
                <w:sz w:val="18"/>
                <w:szCs w:val="18"/>
                <w:lang w:val="en-US"/>
              </w:rPr>
              <w:t>风速大于2m/s的区域</w:t>
            </w:r>
            <w:bookmarkEnd w:id="117"/>
          </w:p>
        </w:tc>
        <w:tc>
          <w:tcPr>
            <w:tcW w:w="1258" w:type="dxa"/>
            <w:vMerge w:val="restart"/>
            <w:shd w:val="clear" w:color="auto" w:fill="auto"/>
            <w:vAlign w:val="center"/>
          </w:tcPr>
          <w:p w14:paraId="0BDB4C7B">
            <w:pPr>
              <w:spacing w:line="300" w:lineRule="exact"/>
              <w:jc w:val="center"/>
              <w:rPr>
                <w:sz w:val="18"/>
                <w:szCs w:val="18"/>
                <w:lang w:val="en-US"/>
              </w:rPr>
            </w:pPr>
            <w:bookmarkStart w:id="120" w:name="冬季风速达标判定"/>
            <w:r>
              <w:rPr>
                <w:rFonts w:hint="eastAsia"/>
                <w:sz w:val="18"/>
                <w:szCs w:val="18"/>
                <w:lang w:val="en-US"/>
              </w:rPr>
              <w:t>达标</w:t>
            </w:r>
            <w:bookmarkEnd w:id="120"/>
          </w:p>
        </w:tc>
        <w:tc>
          <w:tcPr>
            <w:tcW w:w="992" w:type="dxa"/>
            <w:vMerge w:val="restart"/>
            <w:shd w:val="clear" w:color="auto" w:fill="auto"/>
            <w:vAlign w:val="center"/>
          </w:tcPr>
          <w:p w14:paraId="1BB9328D">
            <w:pPr>
              <w:spacing w:line="300" w:lineRule="exact"/>
              <w:jc w:val="center"/>
              <w:rPr>
                <w:sz w:val="18"/>
                <w:szCs w:val="18"/>
                <w:lang w:val="en-US"/>
              </w:rPr>
            </w:pPr>
            <w:bookmarkStart w:id="121" w:name="冬季风速得分"/>
            <w:r>
              <w:rPr>
                <w:rFonts w:hint="eastAsia"/>
                <w:sz w:val="18"/>
                <w:szCs w:val="18"/>
                <w:lang w:val="en-US"/>
              </w:rPr>
              <w:t>3</w:t>
            </w:r>
            <w:bookmarkEnd w:id="121"/>
            <w:r>
              <w:rPr>
                <w:rFonts w:hint="eastAsia"/>
                <w:sz w:val="18"/>
                <w:szCs w:val="18"/>
                <w:lang w:val="en-US"/>
              </w:rPr>
              <w:t>分</w:t>
            </w:r>
          </w:p>
        </w:tc>
      </w:tr>
      <w:tr w14:paraId="120E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418B679A">
            <w:pPr>
              <w:spacing w:line="300" w:lineRule="exact"/>
              <w:rPr>
                <w:sz w:val="18"/>
                <w:szCs w:val="18"/>
                <w:lang w:val="en-US"/>
              </w:rPr>
            </w:pPr>
            <w:r>
              <w:rPr>
                <w:rFonts w:hint="eastAsia"/>
                <w:sz w:val="18"/>
                <w:szCs w:val="18"/>
                <w:lang w:val="en-US"/>
              </w:rPr>
              <w:t>风速放大系数</w:t>
            </w:r>
          </w:p>
        </w:tc>
        <w:tc>
          <w:tcPr>
            <w:tcW w:w="2409" w:type="dxa"/>
            <w:vMerge w:val="continue"/>
            <w:shd w:val="clear" w:color="auto" w:fill="auto"/>
            <w:vAlign w:val="center"/>
          </w:tcPr>
          <w:p w14:paraId="643CD408">
            <w:pPr>
              <w:spacing w:line="300" w:lineRule="exact"/>
              <w:jc w:val="center"/>
              <w:rPr>
                <w:sz w:val="18"/>
                <w:szCs w:val="18"/>
                <w:lang w:val="en-US"/>
              </w:rPr>
            </w:pPr>
          </w:p>
        </w:tc>
        <w:tc>
          <w:tcPr>
            <w:tcW w:w="2127" w:type="dxa"/>
            <w:shd w:val="clear" w:color="auto" w:fill="auto"/>
            <w:vAlign w:val="center"/>
          </w:tcPr>
          <w:p w14:paraId="13463E27">
            <w:pPr>
              <w:spacing w:line="300" w:lineRule="exact"/>
              <w:jc w:val="center"/>
              <w:rPr>
                <w:sz w:val="18"/>
                <w:szCs w:val="18"/>
                <w:lang w:val="en-US"/>
              </w:rPr>
            </w:pPr>
            <w:bookmarkStart w:id="122" w:name="冬季风速放大系数结果所有文字"/>
            <w:r>
              <w:rPr>
                <w:rFonts w:hint="eastAsia"/>
                <w:sz w:val="18"/>
                <w:szCs w:val="18"/>
                <w:lang w:val="en-US"/>
              </w:rPr>
              <w:t>人行区</w:t>
            </w:r>
            <w:bookmarkStart w:id="123" w:name="冬季风速放大系数结果人行区"/>
            <w:bookmarkEnd w:id="123"/>
            <w:r>
              <w:rPr>
                <w:rFonts w:hint="eastAsia"/>
                <w:sz w:val="18"/>
                <w:szCs w:val="18"/>
                <w:lang w:val="en-US"/>
              </w:rPr>
              <w:t>、户外休息区</w:t>
            </w:r>
            <w:r>
              <w:rPr>
                <w:sz w:val="18"/>
                <w:szCs w:val="18"/>
                <w:lang w:val="en-US"/>
              </w:rPr>
              <w:t>、</w:t>
            </w:r>
            <w:r>
              <w:rPr>
                <w:rFonts w:hint="eastAsia"/>
                <w:sz w:val="18"/>
                <w:szCs w:val="18"/>
                <w:lang w:val="en-US"/>
              </w:rPr>
              <w:t>儿童娱乐区</w:t>
            </w:r>
            <w:bookmarkStart w:id="124" w:name="冬季风速放大系数结果休息区"/>
            <w:r>
              <w:t>没有出现</w:t>
            </w:r>
            <w:bookmarkEnd w:id="124"/>
            <w:r>
              <w:rPr>
                <w:rFonts w:hint="eastAsia"/>
                <w:sz w:val="18"/>
                <w:szCs w:val="18"/>
                <w:lang w:val="en-US"/>
              </w:rPr>
              <w:t>风速放大系数大于等于2的区域</w:t>
            </w:r>
            <w:bookmarkEnd w:id="122"/>
          </w:p>
        </w:tc>
        <w:tc>
          <w:tcPr>
            <w:tcW w:w="1258" w:type="dxa"/>
            <w:vMerge w:val="continue"/>
            <w:shd w:val="clear" w:color="auto" w:fill="auto"/>
            <w:vAlign w:val="center"/>
          </w:tcPr>
          <w:p w14:paraId="5D76A71D">
            <w:pPr>
              <w:spacing w:line="300" w:lineRule="exact"/>
              <w:jc w:val="center"/>
              <w:rPr>
                <w:sz w:val="18"/>
                <w:szCs w:val="18"/>
                <w:lang w:val="en-US"/>
              </w:rPr>
            </w:pPr>
          </w:p>
        </w:tc>
        <w:tc>
          <w:tcPr>
            <w:tcW w:w="992" w:type="dxa"/>
            <w:vMerge w:val="continue"/>
            <w:shd w:val="clear" w:color="auto" w:fill="auto"/>
            <w:vAlign w:val="center"/>
          </w:tcPr>
          <w:p w14:paraId="239F2E26">
            <w:pPr>
              <w:spacing w:line="300" w:lineRule="exact"/>
              <w:jc w:val="center"/>
              <w:rPr>
                <w:sz w:val="18"/>
                <w:szCs w:val="18"/>
                <w:lang w:val="en-US"/>
              </w:rPr>
            </w:pPr>
          </w:p>
        </w:tc>
      </w:tr>
      <w:tr w14:paraId="5A6E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4622FCD7">
            <w:pPr>
              <w:spacing w:line="300" w:lineRule="exact"/>
              <w:rPr>
                <w:sz w:val="18"/>
                <w:szCs w:val="18"/>
                <w:lang w:val="en-US"/>
              </w:rPr>
            </w:pPr>
            <w:r>
              <w:rPr>
                <w:rFonts w:hint="eastAsia"/>
                <w:sz w:val="18"/>
                <w:szCs w:val="18"/>
                <w:lang w:val="en-US"/>
              </w:rPr>
              <w:t>建筑迎风面/背风面风压值</w:t>
            </w:r>
          </w:p>
        </w:tc>
        <w:tc>
          <w:tcPr>
            <w:tcW w:w="2409" w:type="dxa"/>
            <w:shd w:val="clear" w:color="auto" w:fill="auto"/>
            <w:vAlign w:val="center"/>
          </w:tcPr>
          <w:p w14:paraId="68631066">
            <w:pPr>
              <w:spacing w:line="300" w:lineRule="exact"/>
              <w:jc w:val="center"/>
              <w:rPr>
                <w:sz w:val="18"/>
                <w:szCs w:val="18"/>
                <w:lang w:val="en-US"/>
              </w:rPr>
            </w:pPr>
            <w:r>
              <w:rPr>
                <w:rFonts w:hint="eastAsia"/>
                <w:sz w:val="18"/>
                <w:szCs w:val="18"/>
                <w:lang w:val="en-US"/>
              </w:rPr>
              <w:t>除迎风第一排建筑外，建筑迎风面与背风面表面风压差不超过5Pa，得</w:t>
            </w:r>
            <w:bookmarkStart w:id="125" w:name="标准要求冬季风压得分"/>
            <w:r>
              <w:rPr>
                <w:rFonts w:hint="eastAsia"/>
                <w:sz w:val="18"/>
                <w:szCs w:val="18"/>
                <w:lang w:val="en-US"/>
              </w:rPr>
              <w:t>2</w:t>
            </w:r>
            <w:bookmarkEnd w:id="125"/>
            <w:r>
              <w:rPr>
                <w:rFonts w:hint="eastAsia"/>
                <w:sz w:val="18"/>
                <w:szCs w:val="18"/>
                <w:lang w:val="en-US"/>
              </w:rPr>
              <w:t>分</w:t>
            </w:r>
          </w:p>
        </w:tc>
        <w:tc>
          <w:tcPr>
            <w:tcW w:w="2127" w:type="dxa"/>
            <w:shd w:val="clear" w:color="auto" w:fill="auto"/>
            <w:vAlign w:val="center"/>
          </w:tcPr>
          <w:p w14:paraId="3B6D3914">
            <w:pPr>
              <w:spacing w:line="300" w:lineRule="exact"/>
              <w:jc w:val="center"/>
              <w:rPr>
                <w:sz w:val="18"/>
                <w:szCs w:val="18"/>
                <w:lang w:val="en-US"/>
              </w:rPr>
            </w:pPr>
            <w:r>
              <w:rPr>
                <w:rFonts w:hint="eastAsia"/>
                <w:sz w:val="18"/>
                <w:szCs w:val="18"/>
                <w:lang w:val="en-US"/>
              </w:rPr>
              <w:t>本项目</w:t>
            </w:r>
            <w:bookmarkStart w:id="126" w:name="冬季迎背风面结果"/>
            <w:r>
              <w:t>没有出现</w:t>
            </w:r>
            <w:bookmarkEnd w:id="126"/>
            <w:r>
              <w:rPr>
                <w:rFonts w:hint="eastAsia"/>
                <w:sz w:val="18"/>
                <w:szCs w:val="18"/>
                <w:lang w:val="en-US"/>
              </w:rPr>
              <w:t>建筑迎风面与背风面表面风压差大于5Pa的建筑</w:t>
            </w:r>
          </w:p>
        </w:tc>
        <w:tc>
          <w:tcPr>
            <w:tcW w:w="1258" w:type="dxa"/>
            <w:shd w:val="clear" w:color="auto" w:fill="auto"/>
            <w:vAlign w:val="center"/>
          </w:tcPr>
          <w:p w14:paraId="1704A522">
            <w:pPr>
              <w:spacing w:line="300" w:lineRule="exact"/>
              <w:jc w:val="center"/>
              <w:rPr>
                <w:sz w:val="18"/>
                <w:szCs w:val="18"/>
                <w:lang w:val="en-US"/>
              </w:rPr>
            </w:pPr>
            <w:bookmarkStart w:id="127" w:name="冬季迎背风面达标判定"/>
            <w:r>
              <w:rPr>
                <w:rFonts w:hint="eastAsia"/>
                <w:sz w:val="18"/>
                <w:szCs w:val="18"/>
                <w:lang w:val="en-US"/>
              </w:rPr>
              <w:t>达标</w:t>
            </w:r>
            <w:bookmarkEnd w:id="127"/>
          </w:p>
        </w:tc>
        <w:tc>
          <w:tcPr>
            <w:tcW w:w="992" w:type="dxa"/>
            <w:shd w:val="clear" w:color="auto" w:fill="auto"/>
            <w:vAlign w:val="center"/>
          </w:tcPr>
          <w:p w14:paraId="26ECFBEB">
            <w:pPr>
              <w:spacing w:line="300" w:lineRule="exact"/>
              <w:jc w:val="center"/>
              <w:rPr>
                <w:sz w:val="18"/>
                <w:szCs w:val="18"/>
                <w:lang w:val="en-US"/>
              </w:rPr>
            </w:pPr>
            <w:bookmarkStart w:id="128" w:name="冬季迎背风面得分"/>
            <w:r>
              <w:rPr>
                <w:rFonts w:hint="eastAsia"/>
                <w:sz w:val="18"/>
                <w:szCs w:val="18"/>
                <w:lang w:val="en-US"/>
              </w:rPr>
              <w:t>2</w:t>
            </w:r>
            <w:bookmarkEnd w:id="128"/>
            <w:r>
              <w:rPr>
                <w:rFonts w:hint="eastAsia"/>
                <w:sz w:val="18"/>
                <w:szCs w:val="18"/>
                <w:lang w:val="en-US"/>
              </w:rPr>
              <w:t>分</w:t>
            </w:r>
          </w:p>
        </w:tc>
      </w:tr>
    </w:tbl>
    <w:p w14:paraId="46066CDC">
      <w:pPr>
        <w:rPr>
          <w:sz w:val="18"/>
          <w:szCs w:val="18"/>
          <w:lang w:val="en-US"/>
        </w:rPr>
      </w:pPr>
      <w:bookmarkStart w:id="129" w:name="_Toc509844767"/>
      <w:bookmarkEnd w:id="129"/>
      <w:bookmarkStart w:id="130" w:name="_Toc509844768"/>
      <w:bookmarkEnd w:id="130"/>
    </w:p>
    <w:p w14:paraId="043CA1FD">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31" w:name="总得分"/>
      <w:r>
        <w:rPr>
          <w:rFonts w:hint="eastAsia" w:ascii="微软雅黑" w:hAnsi="微软雅黑" w:eastAsia="微软雅黑"/>
          <w:lang w:val="en-US"/>
        </w:rPr>
        <w:t>5</w:t>
      </w:r>
      <w:bookmarkEnd w:id="131"/>
      <w:r>
        <w:rPr>
          <w:rFonts w:hint="eastAsia" w:ascii="微软雅黑" w:hAnsi="微软雅黑" w:eastAsia="微软雅黑"/>
          <w:lang w:val="en-US"/>
        </w:rPr>
        <w:t>分。</w:t>
      </w:r>
    </w:p>
    <w:p w14:paraId="08DC4201">
      <w:pPr>
        <w:pStyle w:val="2"/>
      </w:pPr>
      <w:bookmarkStart w:id="132" w:name="_Toc17943"/>
      <w:bookmarkStart w:id="133" w:name="附录"/>
      <w:r>
        <w:rPr>
          <w:rFonts w:hint="eastAsia"/>
        </w:rPr>
        <w:t>附录</w:t>
      </w:r>
      <w:bookmarkEnd w:id="132"/>
    </w:p>
    <w:p w14:paraId="77F9BB1F">
      <w:pPr>
        <w:pStyle w:val="4"/>
      </w:pPr>
      <w:bookmarkStart w:id="134" w:name="_Toc24746"/>
      <w:r>
        <w:rPr>
          <w:rFonts w:hint="eastAsia"/>
        </w:rPr>
        <w:t>参评建筑迎背风面窗平均风压差表</w:t>
      </w:r>
      <w:bookmarkEnd w:id="134"/>
    </w:p>
    <w:p w14:paraId="5D48BBA6">
      <w:pPr>
        <w:pStyle w:val="3"/>
        <w:ind w:left="420" w:firstLine="0" w:firstLineChars="0"/>
        <w:rPr>
          <w:rFonts w:ascii="微软雅黑" w:hAnsi="微软雅黑" w:eastAsia="微软雅黑"/>
          <w:lang w:val="en-US"/>
        </w:rPr>
      </w:pPr>
      <w:bookmarkStart w:id="135" w:name="迎风建筑信息参评"/>
      <w:bookmarkEnd w:id="135"/>
    </w:p>
    <w:p w14:paraId="145A9B86">
      <w:pPr>
        <w:pStyle w:val="4"/>
      </w:pPr>
      <w:bookmarkStart w:id="136" w:name="_Toc28569"/>
      <w:r>
        <w:rPr>
          <w:rFonts w:hint="eastAsia"/>
        </w:rPr>
        <w:t>不参评建筑迎背风面窗平均风压差表</w:t>
      </w:r>
      <w:bookmarkEnd w:id="136"/>
    </w:p>
    <w:p w14:paraId="208CE4ED">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w:t>
      </w:r>
      <w:bookmarkStart w:id="137" w:name="建筑迎背风面风压差表_建筑名"/>
      <w:r>
        <w:rPr>
          <w:sz w:val="18"/>
          <w:szCs w:val="18"/>
        </w:rPr>
        <w:t>单体2</w:t>
      </w:r>
      <w:bookmarkEnd w:id="137"/>
      <w:r>
        <w:rPr>
          <w:rFonts w:hint="eastAsia"/>
          <w:sz w:val="18"/>
          <w:szCs w:val="18"/>
        </w:rPr>
        <w:t>迎背风面窗平均风压差表</w:t>
      </w:r>
    </w:p>
    <w:tbl>
      <w:tblPr>
        <w:tblStyle w:val="28"/>
        <w:tblW w:w="8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9"/>
        <w:gridCol w:w="2410"/>
        <w:gridCol w:w="2278"/>
        <w:gridCol w:w="2420"/>
      </w:tblGrid>
      <w:tr w14:paraId="2ADFD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shd w:val="clear" w:color="auto" w:fill="E6E6E6"/>
            <w:vAlign w:val="center"/>
          </w:tcPr>
          <w:p w14:paraId="35CECAB0">
            <w:pPr>
              <w:jc w:val="center"/>
              <w:rPr>
                <w:b/>
                <w:sz w:val="18"/>
                <w:szCs w:val="18"/>
                <w:lang w:val="en-US"/>
              </w:rPr>
            </w:pPr>
            <w:r>
              <w:rPr>
                <w:rFonts w:hint="eastAsia"/>
                <w:b/>
                <w:sz w:val="18"/>
                <w:szCs w:val="18"/>
                <w:lang w:val="en-US"/>
              </w:rPr>
              <w:t>区域</w:t>
            </w:r>
          </w:p>
        </w:tc>
        <w:tc>
          <w:tcPr>
            <w:tcW w:w="2410" w:type="dxa"/>
            <w:shd w:val="clear" w:color="auto" w:fill="E6E6E6"/>
            <w:vAlign w:val="center"/>
          </w:tcPr>
          <w:p w14:paraId="431955F6">
            <w:pPr>
              <w:jc w:val="center"/>
              <w:rPr>
                <w:b/>
                <w:sz w:val="18"/>
                <w:szCs w:val="18"/>
                <w:lang w:val="en-US"/>
              </w:rPr>
            </w:pPr>
            <w:r>
              <w:rPr>
                <w:rFonts w:hint="eastAsia"/>
                <w:b/>
                <w:sz w:val="18"/>
                <w:szCs w:val="18"/>
                <w:lang w:val="en-US"/>
              </w:rPr>
              <w:t>迎风面窗平均风压</w:t>
            </w:r>
            <w:r>
              <w:rPr>
                <w:b/>
                <w:sz w:val="18"/>
                <w:szCs w:val="18"/>
                <w:lang w:val="en-US"/>
              </w:rPr>
              <w:t>(Pa)</w:t>
            </w:r>
          </w:p>
        </w:tc>
        <w:tc>
          <w:tcPr>
            <w:tcW w:w="2278" w:type="dxa"/>
            <w:shd w:val="clear" w:color="auto" w:fill="E6E6E6"/>
            <w:vAlign w:val="center"/>
          </w:tcPr>
          <w:p w14:paraId="74FE4B79">
            <w:pPr>
              <w:jc w:val="center"/>
              <w:rPr>
                <w:b/>
                <w:sz w:val="18"/>
                <w:szCs w:val="18"/>
                <w:lang w:val="en-US"/>
              </w:rPr>
            </w:pPr>
            <w:r>
              <w:rPr>
                <w:rFonts w:hint="eastAsia"/>
                <w:b/>
                <w:sz w:val="18"/>
                <w:szCs w:val="18"/>
                <w:lang w:val="en-US"/>
              </w:rPr>
              <w:t>背风面窗平均风压</w:t>
            </w:r>
            <w:r>
              <w:rPr>
                <w:b/>
                <w:sz w:val="18"/>
                <w:szCs w:val="18"/>
                <w:lang w:val="en-US"/>
              </w:rPr>
              <w:t>(Pa)</w:t>
            </w:r>
          </w:p>
        </w:tc>
        <w:tc>
          <w:tcPr>
            <w:tcW w:w="2420" w:type="dxa"/>
            <w:shd w:val="clear" w:color="auto" w:fill="E6E6E6"/>
            <w:vAlign w:val="center"/>
          </w:tcPr>
          <w:p w14:paraId="172A2CD9">
            <w:pPr>
              <w:jc w:val="center"/>
              <w:rPr>
                <w:b/>
                <w:sz w:val="18"/>
                <w:szCs w:val="18"/>
                <w:lang w:val="en-US"/>
              </w:rPr>
            </w:pPr>
            <w:r>
              <w:rPr>
                <w:rFonts w:hint="eastAsia"/>
                <w:b/>
                <w:sz w:val="18"/>
                <w:szCs w:val="18"/>
                <w:lang w:val="en-US"/>
              </w:rPr>
              <w:t>迎背风面窗平均风压差</w:t>
            </w:r>
            <w:r>
              <w:rPr>
                <w:b/>
                <w:sz w:val="18"/>
                <w:szCs w:val="18"/>
                <w:lang w:val="en-US"/>
              </w:rPr>
              <w:t>(Pa)</w:t>
            </w:r>
          </w:p>
        </w:tc>
      </w:tr>
      <w:tr w14:paraId="39608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0624ADA6">
            <w:pPr>
              <w:jc w:val="center"/>
              <w:rPr>
                <w:sz w:val="18"/>
                <w:szCs w:val="18"/>
                <w:lang w:val="en-US"/>
              </w:rPr>
            </w:pPr>
            <w:r>
              <w:rPr>
                <w:rFonts w:hint="eastAsia"/>
                <w:sz w:val="18"/>
                <w:szCs w:val="18"/>
                <w:lang w:val="en-US"/>
              </w:rPr>
              <w:t>1层</w:t>
            </w:r>
          </w:p>
        </w:tc>
        <w:tc>
          <w:tcPr>
            <w:tcW w:w="2410" w:type="dxa"/>
            <w:vAlign w:val="center"/>
          </w:tcPr>
          <w:p w14:paraId="38C0B762">
            <w:pPr>
              <w:jc w:val="center"/>
              <w:rPr>
                <w:sz w:val="18"/>
                <w:szCs w:val="18"/>
                <w:lang w:val="en-US"/>
              </w:rPr>
            </w:pPr>
            <w:r>
              <w:rPr>
                <w:sz w:val="18"/>
                <w:szCs w:val="18"/>
                <w:lang w:val="en-US"/>
              </w:rPr>
              <w:t>0.59</w:t>
            </w:r>
          </w:p>
        </w:tc>
        <w:tc>
          <w:tcPr>
            <w:tcW w:w="2278" w:type="dxa"/>
            <w:vAlign w:val="center"/>
          </w:tcPr>
          <w:p w14:paraId="0B44262E">
            <w:pPr>
              <w:jc w:val="center"/>
              <w:rPr>
                <w:sz w:val="18"/>
                <w:szCs w:val="18"/>
                <w:lang w:val="en-US"/>
              </w:rPr>
            </w:pPr>
            <w:r>
              <w:rPr>
                <w:sz w:val="18"/>
                <w:szCs w:val="18"/>
                <w:lang w:val="en-US"/>
              </w:rPr>
              <w:t>-1.95</w:t>
            </w:r>
          </w:p>
        </w:tc>
        <w:tc>
          <w:tcPr>
            <w:tcW w:w="2420" w:type="dxa"/>
            <w:vAlign w:val="center"/>
          </w:tcPr>
          <w:p w14:paraId="528D060C">
            <w:pPr>
              <w:jc w:val="center"/>
              <w:rPr>
                <w:sz w:val="18"/>
                <w:szCs w:val="18"/>
                <w:lang w:val="en-US"/>
              </w:rPr>
            </w:pPr>
            <w:r>
              <w:rPr>
                <w:sz w:val="18"/>
                <w:szCs w:val="18"/>
                <w:lang w:val="en-US"/>
              </w:rPr>
              <w:t>2.54</w:t>
            </w:r>
          </w:p>
        </w:tc>
      </w:tr>
      <w:tr w14:paraId="06CF2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6DEAC4B3">
            <w:pPr>
              <w:jc w:val="center"/>
              <w:rPr>
                <w:sz w:val="18"/>
                <w:szCs w:val="18"/>
                <w:lang w:val="en-US"/>
              </w:rPr>
            </w:pPr>
            <w:r>
              <w:rPr>
                <w:sz w:val="18"/>
                <w:szCs w:val="18"/>
                <w:lang w:val="en-US"/>
              </w:rPr>
              <w:t>2层</w:t>
            </w:r>
          </w:p>
        </w:tc>
        <w:tc>
          <w:tcPr>
            <w:tcW w:w="2410" w:type="dxa"/>
            <w:vAlign w:val="center"/>
          </w:tcPr>
          <w:p w14:paraId="23BE99DD">
            <w:pPr>
              <w:jc w:val="center"/>
              <w:rPr>
                <w:sz w:val="18"/>
                <w:szCs w:val="18"/>
                <w:lang w:val="en-US"/>
              </w:rPr>
            </w:pPr>
            <w:r>
              <w:rPr>
                <w:sz w:val="18"/>
                <w:szCs w:val="18"/>
                <w:lang w:val="en-US"/>
              </w:rPr>
              <w:t>1.12</w:t>
            </w:r>
          </w:p>
        </w:tc>
        <w:tc>
          <w:tcPr>
            <w:tcW w:w="2278" w:type="dxa"/>
            <w:vAlign w:val="center"/>
          </w:tcPr>
          <w:p w14:paraId="59F19F8D">
            <w:pPr>
              <w:jc w:val="center"/>
              <w:rPr>
                <w:sz w:val="18"/>
                <w:szCs w:val="18"/>
                <w:lang w:val="en-US"/>
              </w:rPr>
            </w:pPr>
            <w:r>
              <w:rPr>
                <w:sz w:val="18"/>
                <w:szCs w:val="18"/>
                <w:lang w:val="en-US"/>
              </w:rPr>
              <w:t>-1.47</w:t>
            </w:r>
          </w:p>
        </w:tc>
        <w:tc>
          <w:tcPr>
            <w:tcW w:w="2420" w:type="dxa"/>
            <w:vAlign w:val="center"/>
          </w:tcPr>
          <w:p w14:paraId="093DB33A">
            <w:pPr>
              <w:jc w:val="center"/>
              <w:rPr>
                <w:sz w:val="18"/>
                <w:szCs w:val="18"/>
                <w:lang w:val="en-US"/>
              </w:rPr>
            </w:pPr>
            <w:r>
              <w:rPr>
                <w:sz w:val="18"/>
                <w:szCs w:val="18"/>
                <w:lang w:val="en-US"/>
              </w:rPr>
              <w:t>2.59</w:t>
            </w:r>
          </w:p>
        </w:tc>
      </w:tr>
      <w:tr w14:paraId="0D365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4C88F484">
            <w:pPr>
              <w:jc w:val="center"/>
              <w:rPr>
                <w:sz w:val="18"/>
                <w:szCs w:val="18"/>
                <w:lang w:val="en-US"/>
              </w:rPr>
            </w:pPr>
            <w:r>
              <w:rPr>
                <w:rFonts w:hint="eastAsia"/>
                <w:sz w:val="18"/>
                <w:szCs w:val="18"/>
                <w:lang w:val="en-US"/>
              </w:rPr>
              <w:t>3层</w:t>
            </w:r>
          </w:p>
        </w:tc>
        <w:tc>
          <w:tcPr>
            <w:tcW w:w="2410" w:type="dxa"/>
            <w:vAlign w:val="center"/>
          </w:tcPr>
          <w:p w14:paraId="11C5E5A4">
            <w:pPr>
              <w:jc w:val="center"/>
              <w:rPr>
                <w:sz w:val="18"/>
                <w:szCs w:val="18"/>
                <w:lang w:val="en-US"/>
              </w:rPr>
            </w:pPr>
            <w:r>
              <w:rPr>
                <w:sz w:val="18"/>
                <w:szCs w:val="18"/>
                <w:lang w:val="en-US"/>
              </w:rPr>
              <w:t>0.90</w:t>
            </w:r>
          </w:p>
        </w:tc>
        <w:tc>
          <w:tcPr>
            <w:tcW w:w="2278" w:type="dxa"/>
            <w:vAlign w:val="center"/>
          </w:tcPr>
          <w:p w14:paraId="7EC62FBB">
            <w:pPr>
              <w:jc w:val="center"/>
              <w:rPr>
                <w:sz w:val="18"/>
                <w:szCs w:val="18"/>
                <w:lang w:val="en-US"/>
              </w:rPr>
            </w:pPr>
            <w:r>
              <w:rPr>
                <w:sz w:val="18"/>
                <w:szCs w:val="18"/>
                <w:lang w:val="en-US"/>
              </w:rPr>
              <w:t>-1.53</w:t>
            </w:r>
          </w:p>
        </w:tc>
        <w:tc>
          <w:tcPr>
            <w:tcW w:w="2420" w:type="dxa"/>
            <w:vAlign w:val="center"/>
          </w:tcPr>
          <w:p w14:paraId="2DACF9AE">
            <w:pPr>
              <w:jc w:val="center"/>
              <w:rPr>
                <w:sz w:val="18"/>
                <w:szCs w:val="18"/>
                <w:lang w:val="en-US"/>
              </w:rPr>
            </w:pPr>
            <w:r>
              <w:rPr>
                <w:sz w:val="18"/>
                <w:szCs w:val="18"/>
                <w:lang w:val="en-US"/>
              </w:rPr>
              <w:t>2.43</w:t>
            </w:r>
          </w:p>
        </w:tc>
      </w:tr>
      <w:tr w14:paraId="62D56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2571D143">
            <w:pPr>
              <w:jc w:val="center"/>
              <w:rPr>
                <w:sz w:val="18"/>
                <w:szCs w:val="18"/>
                <w:lang w:val="en-US"/>
              </w:rPr>
            </w:pPr>
            <w:r>
              <w:rPr>
                <w:rFonts w:hint="eastAsia"/>
                <w:sz w:val="18"/>
                <w:szCs w:val="18"/>
                <w:lang w:val="en-US"/>
              </w:rPr>
              <w:t>整楼</w:t>
            </w:r>
          </w:p>
        </w:tc>
        <w:tc>
          <w:tcPr>
            <w:tcW w:w="2410" w:type="dxa"/>
            <w:vAlign w:val="center"/>
          </w:tcPr>
          <w:p w14:paraId="090C8D9D">
            <w:pPr>
              <w:jc w:val="center"/>
              <w:rPr>
                <w:sz w:val="18"/>
                <w:szCs w:val="18"/>
                <w:lang w:val="en-US"/>
              </w:rPr>
            </w:pPr>
            <w:r>
              <w:rPr>
                <w:sz w:val="18"/>
                <w:szCs w:val="18"/>
                <w:lang w:val="en-US"/>
              </w:rPr>
              <w:t>0.95</w:t>
            </w:r>
          </w:p>
        </w:tc>
        <w:tc>
          <w:tcPr>
            <w:tcW w:w="2278" w:type="dxa"/>
            <w:vAlign w:val="center"/>
          </w:tcPr>
          <w:p w14:paraId="1DBAE261">
            <w:pPr>
              <w:jc w:val="center"/>
              <w:rPr>
                <w:sz w:val="18"/>
                <w:szCs w:val="18"/>
                <w:lang w:val="en-US"/>
              </w:rPr>
            </w:pPr>
            <w:r>
              <w:rPr>
                <w:sz w:val="18"/>
                <w:szCs w:val="18"/>
                <w:lang w:val="en-US"/>
              </w:rPr>
              <w:t>-1.59</w:t>
            </w:r>
          </w:p>
        </w:tc>
        <w:tc>
          <w:tcPr>
            <w:tcW w:w="2420" w:type="dxa"/>
            <w:vAlign w:val="center"/>
          </w:tcPr>
          <w:p w14:paraId="35D4332A">
            <w:pPr>
              <w:jc w:val="center"/>
              <w:rPr>
                <w:sz w:val="18"/>
                <w:szCs w:val="18"/>
                <w:lang w:val="en-US"/>
              </w:rPr>
            </w:pPr>
            <w:r>
              <w:rPr>
                <w:sz w:val="18"/>
                <w:szCs w:val="18"/>
                <w:lang w:val="en-US"/>
              </w:rPr>
              <w:t>2.54</w:t>
            </w:r>
          </w:p>
        </w:tc>
      </w:tr>
      <w:bookmarkEnd w:id="0"/>
    </w:tbl>
    <w:p w14:paraId="60A092C7">
      <w:bookmarkStart w:id="138" w:name="结论"/>
      <w:bookmarkEnd w:id="138"/>
    </w:p>
    <w:p w14:paraId="6353B889">
      <w:pPr>
        <w:pStyle w:val="3"/>
        <w:ind w:left="420" w:firstLine="0" w:firstLineChars="0"/>
        <w:rPr>
          <w:rFonts w:ascii="微软雅黑" w:hAnsi="微软雅黑" w:eastAsia="微软雅黑"/>
          <w:lang w:val="en-US"/>
        </w:rPr>
      </w:pPr>
      <w:bookmarkStart w:id="139" w:name="迎风建筑信息不参评"/>
      <w:bookmarkEnd w:id="139"/>
    </w:p>
    <w:bookmarkEnd w:id="133"/>
    <w:p w14:paraId="417A75FD">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48F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3CE3431">
          <w:pPr>
            <w:pStyle w:val="20"/>
            <w:spacing w:line="360" w:lineRule="exact"/>
            <w:rPr>
              <w:sz w:val="20"/>
              <w:szCs w:val="21"/>
            </w:rPr>
          </w:pPr>
        </w:p>
      </w:tc>
      <w:tc>
        <w:tcPr>
          <w:tcW w:w="2841" w:type="dxa"/>
        </w:tcPr>
        <w:p w14:paraId="4C3862B9">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66F06AF5">
          <w:pPr>
            <w:pStyle w:val="20"/>
            <w:spacing w:line="360" w:lineRule="exact"/>
            <w:jc w:val="right"/>
            <w:rPr>
              <w:sz w:val="20"/>
              <w:szCs w:val="21"/>
            </w:rPr>
          </w:pPr>
        </w:p>
      </w:tc>
    </w:tr>
  </w:tbl>
  <w:p w14:paraId="56BB26C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E24">
    <w:pPr>
      <w:pStyle w:val="20"/>
      <w:jc w:val="center"/>
      <w:rPr>
        <w:rFonts w:asciiTheme="minorEastAsia" w:hAnsiTheme="minorEastAsia" w:eastAsiaTheme="minorEastAsia"/>
        <w:szCs w:val="21"/>
      </w:rPr>
    </w:pPr>
  </w:p>
  <w:p w14:paraId="42DC7452">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77E47">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D0616"/>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020044F7"/>
    <w:rsid w:val="08AE4461"/>
    <w:rsid w:val="4DDD0616"/>
    <w:rsid w:val="5B397760"/>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qFormat/>
    <w:uiPriority w:val="0"/>
    <w:pPr>
      <w:ind w:left="1260"/>
    </w:pPr>
    <w:rPr>
      <w:rFonts w:asciiTheme="minorHAnsi" w:hAnsiTheme="minorHAnsi" w:cstheme="minorHAnsi"/>
      <w:sz w:val="20"/>
    </w:rPr>
  </w:style>
  <w:style w:type="paragraph" w:styleId="13">
    <w:name w:val="Normal Indent"/>
    <w:basedOn w:val="1"/>
    <w:link w:val="38"/>
    <w:qFormat/>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qFormat/>
    <w:uiPriority w:val="0"/>
    <w:pPr>
      <w:ind w:left="840"/>
    </w:pPr>
    <w:rPr>
      <w:rFonts w:asciiTheme="minorHAnsi" w:hAnsiTheme="minorHAnsi" w:cstheme="minorHAnsi"/>
      <w:sz w:val="20"/>
    </w:rPr>
  </w:style>
  <w:style w:type="paragraph" w:styleId="17">
    <w:name w:val="toc 3"/>
    <w:basedOn w:val="1"/>
    <w:next w:val="1"/>
    <w:autoRedefine/>
    <w:qFormat/>
    <w:uiPriority w:val="39"/>
    <w:pPr>
      <w:spacing w:line="400" w:lineRule="exact"/>
      <w:ind w:left="420"/>
    </w:pPr>
  </w:style>
  <w:style w:type="paragraph" w:styleId="18">
    <w:name w:val="toc 8"/>
    <w:basedOn w:val="1"/>
    <w:next w:val="1"/>
    <w:autoRedefine/>
    <w:unhideWhenUsed/>
    <w:qFormat/>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qFormat/>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qFormat/>
    <w:uiPriority w:val="39"/>
    <w:pPr>
      <w:spacing w:line="400" w:lineRule="exact"/>
    </w:pPr>
    <w:rPr>
      <w:rFonts w:asciiTheme="minorHAnsi" w:hAnsiTheme="minorHAnsi" w:cstheme="minorHAnsi"/>
      <w:b/>
      <w:bCs/>
    </w:rPr>
  </w:style>
  <w:style w:type="paragraph" w:styleId="23">
    <w:name w:val="toc 4"/>
    <w:basedOn w:val="1"/>
    <w:next w:val="1"/>
    <w:autoRedefine/>
    <w:unhideWhenUsed/>
    <w:qFormat/>
    <w:uiPriority w:val="0"/>
    <w:pPr>
      <w:ind w:left="630"/>
    </w:pPr>
    <w:rPr>
      <w:rFonts w:asciiTheme="minorHAnsi" w:hAnsiTheme="minorHAnsi" w:cstheme="minorHAnsi"/>
      <w:sz w:val="20"/>
    </w:rPr>
  </w:style>
  <w:style w:type="paragraph" w:styleId="24">
    <w:name w:val="toc 6"/>
    <w:basedOn w:val="1"/>
    <w:next w:val="1"/>
    <w:autoRedefine/>
    <w:unhideWhenUsed/>
    <w:qFormat/>
    <w:uiPriority w:val="0"/>
    <w:pPr>
      <w:ind w:left="1050"/>
    </w:pPr>
    <w:rPr>
      <w:rFonts w:asciiTheme="minorHAnsi" w:hAnsiTheme="minorHAnsi" w:cstheme="minorHAnsi"/>
      <w:sz w:val="20"/>
    </w:rPr>
  </w:style>
  <w:style w:type="paragraph" w:styleId="25">
    <w:name w:val="toc 2"/>
    <w:basedOn w:val="1"/>
    <w:next w:val="1"/>
    <w:autoRedefine/>
    <w:qFormat/>
    <w:uiPriority w:val="39"/>
    <w:pPr>
      <w:spacing w:line="400" w:lineRule="exact"/>
      <w:ind w:left="210"/>
    </w:pPr>
    <w:rPr>
      <w:rFonts w:asciiTheme="minorHAnsi" w:hAnsiTheme="minorHAnsi" w:cstheme="minorHAnsi"/>
      <w:iCs/>
    </w:rPr>
  </w:style>
  <w:style w:type="paragraph" w:styleId="26">
    <w:name w:val="toc 9"/>
    <w:basedOn w:val="1"/>
    <w:next w:val="1"/>
    <w:autoRedefine/>
    <w:unhideWhenUsed/>
    <w:qFormat/>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qFormat/>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qFormat/>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qFormat/>
    <w:uiPriority w:val="0"/>
    <w:rPr>
      <w:sz w:val="18"/>
      <w:szCs w:val="18"/>
      <w:lang w:val="en-GB"/>
    </w:rPr>
  </w:style>
  <w:style w:type="character" w:styleId="42">
    <w:name w:val="Placeholder Text"/>
    <w:semiHidden/>
    <w:qFormat/>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qFormat/>
    <w:uiPriority w:val="0"/>
    <w:rPr>
      <w:rFonts w:ascii="微软雅黑" w:hAnsi="微软雅黑" w:eastAsia="微软雅黑" w:cs="微软雅黑"/>
      <w:b/>
      <w:bCs/>
      <w:sz w:val="21"/>
      <w:szCs w:val="21"/>
      <w:lang w:val="en-GB"/>
    </w:rPr>
  </w:style>
  <w:style w:type="character" w:customStyle="1" w:styleId="45">
    <w:name w:val="标题 5 字符"/>
    <w:link w:val="7"/>
    <w:qFormat/>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qFormat/>
    <w:uiPriority w:val="0"/>
    <w:rPr>
      <w:sz w:val="24"/>
      <w:szCs w:val="24"/>
      <w:lang w:val="en-GB"/>
    </w:rPr>
  </w:style>
  <w:style w:type="character" w:customStyle="1" w:styleId="48">
    <w:name w:val="标题 8 字符"/>
    <w:link w:val="10"/>
    <w:qFormat/>
    <w:uiPriority w:val="0"/>
    <w:rPr>
      <w:i/>
      <w:iCs/>
      <w:sz w:val="24"/>
      <w:szCs w:val="24"/>
      <w:lang w:val="en-GB"/>
    </w:rPr>
  </w:style>
  <w:style w:type="character" w:customStyle="1" w:styleId="49">
    <w:name w:val="标题 9 字符"/>
    <w:link w:val="11"/>
    <w:qFormat/>
    <w:uiPriority w:val="0"/>
    <w:rPr>
      <w:rFonts w:ascii="Arial" w:hAnsi="Arial" w:cs="Arial"/>
      <w:sz w:val="22"/>
      <w:szCs w:val="22"/>
      <w:lang w:val="en-GB"/>
    </w:rPr>
  </w:style>
  <w:style w:type="character" w:customStyle="1" w:styleId="50">
    <w:name w:val="页眉 字符"/>
    <w:link w:val="21"/>
    <w:qFormat/>
    <w:uiPriority w:val="0"/>
    <w:rPr>
      <w:sz w:val="21"/>
      <w:szCs w:val="18"/>
      <w:lang w:val="en-GB"/>
    </w:rPr>
  </w:style>
  <w:style w:type="character" w:customStyle="1" w:styleId="51">
    <w:name w:val="文档结构图 字符"/>
    <w:link w:val="15"/>
    <w:semiHidden/>
    <w:qFormat/>
    <w:uiPriority w:val="0"/>
    <w:rPr>
      <w:sz w:val="21"/>
      <w:shd w:val="clear" w:color="auto" w:fill="000080"/>
      <w:lang w:val="en-GB"/>
    </w:rPr>
  </w:style>
  <w:style w:type="character" w:customStyle="1" w:styleId="52">
    <w:name w:val="封面表格 字符"/>
    <w:basedOn w:val="30"/>
    <w:link w:val="53"/>
    <w:qFormat/>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qFormat/>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qFormat/>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qFormat/>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qFormat/>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84;&#31179;SH~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tmp17.dotx</Template>
  <Pages>20</Pages>
  <Words>2469</Words>
  <Characters>2773</Characters>
  <Lines>47</Lines>
  <Paragraphs>13</Paragraphs>
  <TotalTime>0</TotalTime>
  <ScaleCrop>false</ScaleCrop>
  <LinksUpToDate>false</LinksUpToDate>
  <CharactersWithSpaces>2887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2025-12-18T13:47:00Z</dcterms:created>
  <dc:creator>默</dc:creator>
  <cp:lastModifiedBy>默</cp:lastModifiedBy>
  <dcterms:modified xsi:type="dcterms:W3CDTF">2026-01-03T19:04:12Z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1705445B9B8D49AE89F6E60618FBA2DC_11</vt:lpwstr>
  </property>
  <property fmtid="{D5CDD505-2E9C-101B-9397-08002B2CF9AE}" pid="4" name="KSOTemplateDocerSaveRecord">
    <vt:lpwstr>eyJoZGlkIjoiMTEwOTRkZWNjNzQzZmE0YjEzMWExMDA0YmMxZGUwNmQiLCJ1c2VySWQiOiI0NDkxMDg5ODQifQ==</vt:lpwstr>
  </property>
</Properties>
</file>