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6B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lang w:val="en-US" w:eastAsia="zh-CN"/>
        </w:rPr>
        <w:t>设计说明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本项目以“从‘供能’到‘赋能’” 为核心概念，对高校废旧锅炉房进行绿色改造，改造为博物馆和公共会客厅。设计保留工业遗迹（锅炉、煤廊、烟囱）作为空间叙事主线，并将其转化为博物馆的展览核心。公共服务空间部分，通过置入报告厅、咖啡馆与文创区，构建服务于师生与游客的活力枢纽。绿色策略上，坚持“被动优先”：利用高大空间组织热压通风与天然采光、可调节遮阳铝板、集成光伏系统与雨水回收，使建筑成为能源生产者。最终，项目将工业“热能心脏”转变为激发文化活力的“绿色文化地标”，成为技艺融合与可持续更新的校园典范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附建筑专业图纸如下</w:t>
      </w:r>
      <w:r>
        <w:rPr>
          <w:rFonts w:hint="eastAsia"/>
          <w:lang w:eastAsia="zh-CN"/>
        </w:rPr>
        <w:t>）</w:t>
      </w:r>
    </w:p>
    <w:p w14:paraId="6B9DC835"/>
    <w:p w14:paraId="65EBAF05">
      <w:r>
        <w:drawing>
          <wp:inline distT="0" distB="0" distL="114300" distR="114300">
            <wp:extent cx="4966970" cy="3060065"/>
            <wp:effectExtent l="0" t="0" r="1143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3E59">
      <w:r>
        <w:drawing>
          <wp:inline distT="0" distB="0" distL="114300" distR="114300">
            <wp:extent cx="4973320" cy="3060065"/>
            <wp:effectExtent l="0" t="0" r="508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5D82"/>
    <w:p w14:paraId="6F7057D6"/>
    <w:p w14:paraId="34915084"/>
    <w:p w14:paraId="4BA63F7D"/>
    <w:p w14:paraId="03B225C7">
      <w:r>
        <w:drawing>
          <wp:inline distT="0" distB="0" distL="114300" distR="114300">
            <wp:extent cx="4955540" cy="3060065"/>
            <wp:effectExtent l="0" t="0" r="1016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C5F5">
      <w:r>
        <w:drawing>
          <wp:inline distT="0" distB="0" distL="114300" distR="114300">
            <wp:extent cx="4958715" cy="306006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07B1">
      <w:bookmarkStart w:id="0" w:name="_GoBack"/>
      <w:bookmarkEnd w:id="0"/>
    </w:p>
    <w:p w14:paraId="5E039C36">
      <w:r>
        <w:drawing>
          <wp:inline distT="0" distB="0" distL="114300" distR="114300">
            <wp:extent cx="5039995" cy="1522730"/>
            <wp:effectExtent l="0" t="0" r="190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D603"/>
    <w:p w14:paraId="23A6D0D3"/>
    <w:p w14:paraId="2397F5F4"/>
    <w:p w14:paraId="1A0AE424">
      <w:r>
        <w:drawing>
          <wp:inline distT="0" distB="0" distL="114300" distR="114300">
            <wp:extent cx="5039995" cy="1534160"/>
            <wp:effectExtent l="0" t="0" r="1905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8AB7">
      <w:r>
        <w:drawing>
          <wp:inline distT="0" distB="0" distL="114300" distR="114300">
            <wp:extent cx="5039995" cy="1525905"/>
            <wp:effectExtent l="0" t="0" r="190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E741">
      <w:r>
        <w:drawing>
          <wp:inline distT="0" distB="0" distL="114300" distR="114300">
            <wp:extent cx="5039995" cy="1534795"/>
            <wp:effectExtent l="0" t="0" r="190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0082">
      <w:r>
        <w:drawing>
          <wp:inline distT="0" distB="0" distL="114300" distR="114300">
            <wp:extent cx="5272405" cy="3383280"/>
            <wp:effectExtent l="0" t="0" r="10795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1E7F05"/>
    <w:rsid w:val="483C2499"/>
    <w:rsid w:val="4FE0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2026-03-24T08:35:15Z</dcterms:created>
  <dc:creator>10705</dc:creator>
  <cp:lastModifiedBy>王翔</cp:lastModifiedBy>
  <dcterms:modified xsi:type="dcterms:W3CDTF">2026-03-24T08:45:47Z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eyJoZGlkIjoiMjhmOGRjYzBlNzQ0YjU0ZmY3Y2ZmMjA0NDlhYThiMDAiLCJ1c2VySWQiOiIxMTI2NTU4MDEwIn0=</vt:lpwstr>
  </property>
  <property fmtid="{D5CDD505-2E9C-101B-9397-08002B2CF9AE}" pid="4" name="ICV">
    <vt:lpwstr>48C3947685AB4C929ED1FDF5BD9CE456_12</vt:lpwstr>
  </property>
</Properties>
</file>