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257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设计说明</w:t>
      </w:r>
      <w:r>
        <w:rPr>
          <w:rFonts w:hint="eastAsia"/>
          <w:lang w:val="en-US" w:eastAsia="zh-CN"/>
        </w:rPr>
        <w:t>：细部构造层面，立面采用可调节遮阳铝板，动态调节太阳辐射与光线，内置智能控制系统自动优化策略，平衡节能与舒适。双层立面结构之间形成空气间层，利用空气流动调节室内温度。搭配Low-E玻璃，冬季减少热量损失，夏季避免过多热量进入室内。绿色屋顶通过土壤介质的热惰性与植物蒸腾作用，被动隔热、蓄水，无需额外能耗。透水路面</w:t>
      </w:r>
      <w:bookmarkStart w:id="0" w:name="_GoBack"/>
      <w:bookmarkEnd w:id="0"/>
      <w:r>
        <w:rPr>
          <w:rFonts w:hint="eastAsia"/>
          <w:lang w:val="en-US" w:eastAsia="zh-CN"/>
        </w:rPr>
        <w:t>利用材料孔隙使雨水自然下渗，消除地表径流，将雨水还原地下。（附结构专业图纸如下）</w:t>
      </w:r>
    </w:p>
    <w:p w14:paraId="7D5D02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4150" cy="28321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4EB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865" cy="2858135"/>
            <wp:effectExtent l="0" t="0" r="6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4A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436FF2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490C20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6C091F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117401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7C4791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62DF21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0180BC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013457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 w14:paraId="0932B2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3040" cy="280606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E4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57165" cy="2963545"/>
            <wp:effectExtent l="0" t="0" r="63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815580"/>
    <w:rsid w:val="274B4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2026-03-24T08:46:37Z</dcterms:created>
  <dc:creator>10705</dc:creator>
  <cp:lastModifiedBy>王翔</cp:lastModifiedBy>
  <dcterms:modified xsi:type="dcterms:W3CDTF">2026-03-24T08:48:59Z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eyJoZGlkIjoiMjhmOGRjYzBlNzQ0YjU0ZmY3Y2ZmMjA0NDlhYThiMDAiLCJ1c2VySWQiOiIxMTI2NTU4MDEwIn0=</vt:lpwstr>
  </property>
  <property fmtid="{D5CDD505-2E9C-101B-9397-08002B2CF9AE}" pid="4" name="ICV">
    <vt:lpwstr>582C43A3F8C646F2BC257A9D770575CA_12</vt:lpwstr>
  </property>
</Properties>
</file>