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0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/>
          <w:sz w:val="28"/>
          <w:szCs w:val="28"/>
        </w:rPr>
        <w:t>本项目按照总—分—项三级架构设置独立分项计量系统。冷热源方面，供暖热源由集中热水采暖系统提供，热力入口处设置热量表及远传电表；空调冷源采用多联机系统，室外机电源单独计量，室内机按区域分组计量。输配系统方面，空调水泵、供暖循环泵等设备设置独立电表。照明系统按功能区域（展览空间、办公空间、休闲服务空间）及公共区域分别设置计量装置。动力系统（电梯、风机等）及特殊用电（展陈设备、信息发布系统等）均设置独立计量表具。所有计量表具均采用智能远传型，数据自动采集上传至中央能源管理平台，实现分类、分级能耗监测与统计分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2026-03-25T10:09:16Z</dcterms:created>
  <dc:creator>10705</dc:creator>
  <cp:lastModifiedBy>王翔</cp:lastModifiedBy>
  <dcterms:modified xsi:type="dcterms:W3CDTF">2026-03-25T10:10:10Z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BC723A44633E4F089D2E1A02D2AD07EC_12</vt:lpwstr>
  </property>
</Properties>
</file>