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730B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一、外部设施设计说明</w:t>
      </w:r>
    </w:p>
    <w:p w14:paraId="148E69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设计依据</w:t>
      </w:r>
      <w:r>
        <w:rPr>
          <w:rFonts w:hint="default" w:ascii="Times New Roman" w:hAnsi="Times New Roman" w:cs="Times New Roman"/>
          <w:sz w:val="28"/>
          <w:szCs w:val="28"/>
          <w:lang w:eastAsia="zh-CN"/>
        </w:rPr>
        <w:t>：</w:t>
      </w:r>
      <w:r>
        <w:rPr>
          <w:rFonts w:hint="default" w:ascii="Times New Roman" w:hAnsi="Times New Roman" w:cs="Times New Roman"/>
          <w:sz w:val="28"/>
          <w:szCs w:val="28"/>
        </w:rPr>
        <w:t>《建筑结构荷载规范》GB 50009</w:t>
      </w:r>
      <w:r>
        <w:rPr>
          <w:rFonts w:hint="default" w:ascii="Times New Roman" w:hAnsi="Times New Roman" w:cs="Times New Roman"/>
          <w:sz w:val="28"/>
          <w:szCs w:val="28"/>
          <w:lang w:eastAsia="zh-CN"/>
        </w:rPr>
        <w:t>、</w:t>
      </w:r>
      <w:r>
        <w:rPr>
          <w:rFonts w:hint="default" w:ascii="Times New Roman" w:hAnsi="Times New Roman" w:cs="Times New Roman"/>
          <w:sz w:val="28"/>
          <w:szCs w:val="28"/>
        </w:rPr>
        <w:t>《混凝土结构设计规范》GB 50010</w:t>
      </w:r>
      <w:r>
        <w:rPr>
          <w:rFonts w:hint="default" w:ascii="Times New Roman" w:hAnsi="Times New Roman" w:cs="Times New Roman"/>
          <w:sz w:val="28"/>
          <w:szCs w:val="28"/>
          <w:lang w:eastAsia="zh-CN"/>
        </w:rPr>
        <w:t>、</w:t>
      </w:r>
      <w:r>
        <w:rPr>
          <w:rFonts w:hint="default" w:ascii="Times New Roman" w:hAnsi="Times New Roman" w:cs="Times New Roman"/>
          <w:sz w:val="28"/>
          <w:szCs w:val="28"/>
        </w:rPr>
        <w:t>《钢结构设计标准》GB 50017</w:t>
      </w:r>
      <w:r>
        <w:rPr>
          <w:rFonts w:hint="default" w:ascii="Times New Roman" w:hAnsi="Times New Roman" w:cs="Times New Roman"/>
          <w:sz w:val="28"/>
          <w:szCs w:val="28"/>
          <w:lang w:eastAsia="zh-CN"/>
        </w:rPr>
        <w:t>、</w:t>
      </w:r>
      <w:r>
        <w:rPr>
          <w:rFonts w:hint="default" w:ascii="Times New Roman" w:hAnsi="Times New Roman" w:cs="Times New Roman"/>
          <w:sz w:val="28"/>
          <w:szCs w:val="28"/>
        </w:rPr>
        <w:t>《建筑抗震设计规范》GB 50011</w:t>
      </w:r>
      <w:r>
        <w:rPr>
          <w:rFonts w:hint="default" w:ascii="Times New Roman" w:hAnsi="Times New Roman" w:cs="Times New Roman"/>
          <w:sz w:val="28"/>
          <w:szCs w:val="28"/>
          <w:lang w:eastAsia="zh-CN"/>
        </w:rPr>
        <w:t>、</w:t>
      </w:r>
      <w:r>
        <w:rPr>
          <w:rFonts w:hint="default" w:ascii="Times New Roman" w:hAnsi="Times New Roman" w:cs="Times New Roman"/>
          <w:sz w:val="28"/>
          <w:szCs w:val="28"/>
        </w:rPr>
        <w:t>《建筑遮阳工程技术规范》JGJ 237</w:t>
      </w:r>
      <w:r>
        <w:rPr>
          <w:rFonts w:hint="default" w:ascii="Times New Roman" w:hAnsi="Times New Roman" w:cs="Times New Roman"/>
          <w:sz w:val="28"/>
          <w:szCs w:val="28"/>
          <w:lang w:eastAsia="zh-CN"/>
        </w:rPr>
        <w:t>、</w:t>
      </w:r>
      <w:r>
        <w:rPr>
          <w:rFonts w:hint="default" w:ascii="Times New Roman" w:hAnsi="Times New Roman" w:cs="Times New Roman"/>
          <w:sz w:val="28"/>
          <w:szCs w:val="28"/>
        </w:rPr>
        <w:t>《太阳能光伏与建筑一体化技术规程》JGJ 203</w:t>
      </w:r>
      <w:r>
        <w:rPr>
          <w:rFonts w:hint="default" w:ascii="Times New Roman" w:hAnsi="Times New Roman" w:cs="Times New Roman"/>
          <w:sz w:val="28"/>
          <w:szCs w:val="28"/>
          <w:lang w:eastAsia="zh-CN"/>
        </w:rPr>
        <w:t>、</w:t>
      </w:r>
      <w:r>
        <w:rPr>
          <w:rFonts w:hint="default" w:ascii="Times New Roman" w:hAnsi="Times New Roman" w:cs="Times New Roman"/>
          <w:sz w:val="28"/>
          <w:szCs w:val="28"/>
        </w:rPr>
        <w:t>《建筑外墙空调器室外机平台技术规程》T/CCES 10</w:t>
      </w:r>
    </w:p>
    <w:p w14:paraId="089D7E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二、</w:t>
      </w:r>
      <w:r>
        <w:rPr>
          <w:rFonts w:hint="default" w:ascii="Times New Roman" w:hAnsi="Times New Roman" w:cs="Times New Roman"/>
          <w:sz w:val="28"/>
          <w:szCs w:val="28"/>
        </w:rPr>
        <w:t>设计与主体结构一体化要求</w:t>
      </w:r>
    </w:p>
    <w:p w14:paraId="1C722D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1、</w:t>
      </w:r>
      <w:r>
        <w:rPr>
          <w:rFonts w:hint="default" w:ascii="Times New Roman" w:hAnsi="Times New Roman" w:cs="Times New Roman"/>
          <w:sz w:val="28"/>
          <w:szCs w:val="28"/>
        </w:rPr>
        <w:t>可调节遮阳铝板</w:t>
      </w:r>
      <w:r>
        <w:rPr>
          <w:rFonts w:hint="default" w:ascii="Times New Roman" w:hAnsi="Times New Roman" w:cs="Times New Roman"/>
          <w:sz w:val="28"/>
          <w:szCs w:val="28"/>
          <w:lang w:eastAsia="zh-CN"/>
        </w:rPr>
        <w:t>：</w:t>
      </w:r>
      <w:r>
        <w:rPr>
          <w:rFonts w:hint="default" w:ascii="Times New Roman" w:hAnsi="Times New Roman" w:cs="Times New Roman"/>
          <w:sz w:val="28"/>
          <w:szCs w:val="28"/>
        </w:rPr>
        <w:t>遮阳系统与主体结构同步设计，采用后置埋件连接方式，埋件与主体结构梁、柱可靠锚固；遮阳龙骨系统独立</w:t>
      </w:r>
      <w:bookmarkStart w:id="0" w:name="_GoBack"/>
      <w:bookmarkEnd w:id="0"/>
      <w:r>
        <w:rPr>
          <w:rFonts w:hint="default" w:ascii="Times New Roman" w:hAnsi="Times New Roman" w:cs="Times New Roman"/>
          <w:sz w:val="28"/>
          <w:szCs w:val="28"/>
        </w:rPr>
        <w:t>于围护结构，直接传力至主体结构，避免对外墙保温层破坏；遮阳铝板采用氟碳喷涂处理，耐久年限不低于20年；设置电动驱动装置，预留检修通道，便于后期维护。</w:t>
      </w:r>
    </w:p>
    <w:p w14:paraId="2C8360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2、</w:t>
      </w:r>
      <w:r>
        <w:rPr>
          <w:rFonts w:hint="default" w:ascii="Times New Roman" w:hAnsi="Times New Roman" w:cs="Times New Roman"/>
          <w:sz w:val="28"/>
          <w:szCs w:val="28"/>
        </w:rPr>
        <w:t>太阳能光伏瓦</w:t>
      </w:r>
      <w:r>
        <w:rPr>
          <w:rFonts w:hint="default" w:ascii="Times New Roman" w:hAnsi="Times New Roman" w:cs="Times New Roman"/>
          <w:sz w:val="28"/>
          <w:szCs w:val="28"/>
          <w:lang w:eastAsia="zh-CN"/>
        </w:rPr>
        <w:t>：</w:t>
      </w:r>
      <w:r>
        <w:rPr>
          <w:rFonts w:hint="default" w:ascii="Times New Roman" w:hAnsi="Times New Roman" w:cs="Times New Roman"/>
          <w:sz w:val="28"/>
          <w:szCs w:val="28"/>
        </w:rPr>
        <w:t>光伏瓦直接安装于坡屋面结构层上，与屋面防水、保温系统一体化设计；光伏系统支架与屋面结构层通过预埋件或化学锚栓可靠连接；光伏系统电气线路预留穿线管及接线盒，与建筑电气系统同步敷设；屋面设置检修通道及安全防护设施，便于光伏组件更换及清洁。</w:t>
      </w:r>
    </w:p>
    <w:p w14:paraId="483DF4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3、</w:t>
      </w:r>
      <w:r>
        <w:rPr>
          <w:rFonts w:hint="default" w:ascii="Times New Roman" w:hAnsi="Times New Roman" w:cs="Times New Roman"/>
          <w:sz w:val="28"/>
          <w:szCs w:val="28"/>
        </w:rPr>
        <w:t>空调室外机位</w:t>
      </w:r>
      <w:r>
        <w:rPr>
          <w:rFonts w:hint="default" w:ascii="Times New Roman" w:hAnsi="Times New Roman" w:cs="Times New Roman"/>
          <w:sz w:val="28"/>
          <w:szCs w:val="28"/>
          <w:lang w:eastAsia="zh-CN"/>
        </w:rPr>
        <w:t>：</w:t>
      </w:r>
      <w:r>
        <w:rPr>
          <w:rFonts w:hint="default" w:ascii="Times New Roman" w:hAnsi="Times New Roman" w:cs="Times New Roman"/>
          <w:sz w:val="28"/>
          <w:szCs w:val="28"/>
        </w:rPr>
        <w:t>机位平台与主体结构整体浇筑，采用钢筋混凝土悬挑板，承载力满足设备自重及检修荷载要求；机位尺寸不小于1.2m×0.8m，满足设备安装及散热空间要求；机位周边设置安全防护栏杆，高度不低于1.2m；预留检修门或检修通道，便于设备维修及更换。</w:t>
      </w:r>
    </w:p>
    <w:p w14:paraId="3C2391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三、</w:t>
      </w:r>
      <w:r>
        <w:rPr>
          <w:rFonts w:hint="default" w:ascii="Times New Roman" w:hAnsi="Times New Roman" w:cs="Times New Roman"/>
          <w:sz w:val="28"/>
          <w:szCs w:val="28"/>
        </w:rPr>
        <w:t>安装、检修与维护条件</w:t>
      </w:r>
    </w:p>
    <w:p w14:paraId="33B9F8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1、</w:t>
      </w:r>
      <w:r>
        <w:rPr>
          <w:rFonts w:hint="default" w:ascii="Times New Roman" w:hAnsi="Times New Roman" w:cs="Times New Roman"/>
          <w:sz w:val="28"/>
          <w:szCs w:val="28"/>
        </w:rPr>
        <w:t>检修通道</w:t>
      </w:r>
      <w:r>
        <w:rPr>
          <w:rFonts w:hint="default" w:ascii="Times New Roman" w:hAnsi="Times New Roman" w:cs="Times New Roman"/>
          <w:sz w:val="28"/>
          <w:szCs w:val="28"/>
          <w:lang w:eastAsia="zh-CN"/>
        </w:rPr>
        <w:t>：</w:t>
      </w:r>
      <w:r>
        <w:rPr>
          <w:rFonts w:hint="default" w:ascii="Times New Roman" w:hAnsi="Times New Roman" w:cs="Times New Roman"/>
          <w:sz w:val="28"/>
          <w:szCs w:val="28"/>
        </w:rPr>
        <w:t>屋面设置检修通道，宽度不小于0.6m，采用防滑面层；外墙遮阳系统设置检修吊篮挂点或检修平台；空调机位周边设置检修踏步或检修门。</w:t>
      </w:r>
    </w:p>
    <w:p w14:paraId="7CF0AD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2、</w:t>
      </w:r>
      <w:r>
        <w:rPr>
          <w:rFonts w:hint="default" w:ascii="Times New Roman" w:hAnsi="Times New Roman" w:cs="Times New Roman"/>
          <w:sz w:val="28"/>
          <w:szCs w:val="28"/>
        </w:rPr>
        <w:t>安全防护</w:t>
      </w:r>
      <w:r>
        <w:rPr>
          <w:rFonts w:hint="default" w:ascii="Times New Roman" w:hAnsi="Times New Roman" w:cs="Times New Roman"/>
          <w:sz w:val="28"/>
          <w:szCs w:val="28"/>
          <w:lang w:eastAsia="zh-CN"/>
        </w:rPr>
        <w:t>：</w:t>
      </w:r>
      <w:r>
        <w:rPr>
          <w:rFonts w:hint="default" w:ascii="Times New Roman" w:hAnsi="Times New Roman" w:cs="Times New Roman"/>
          <w:sz w:val="28"/>
          <w:szCs w:val="28"/>
        </w:rPr>
        <w:t>外部设施安装区域设置安全警示标识；高处作业区域设置安全防护网或防护栏杆；检修人员需佩戴安全防护装备。</w:t>
      </w:r>
    </w:p>
    <w:p w14:paraId="66941D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3、</w:t>
      </w:r>
      <w:r>
        <w:rPr>
          <w:rFonts w:hint="default" w:ascii="Times New Roman" w:hAnsi="Times New Roman" w:cs="Times New Roman"/>
          <w:sz w:val="28"/>
          <w:szCs w:val="28"/>
        </w:rPr>
        <w:t>维护管理</w:t>
      </w:r>
      <w:r>
        <w:rPr>
          <w:rFonts w:hint="default" w:ascii="Times New Roman" w:hAnsi="Times New Roman" w:cs="Times New Roman"/>
          <w:sz w:val="28"/>
          <w:szCs w:val="28"/>
          <w:lang w:eastAsia="zh-CN"/>
        </w:rPr>
        <w:t>：</w:t>
      </w:r>
      <w:r>
        <w:rPr>
          <w:rFonts w:hint="default" w:ascii="Times New Roman" w:hAnsi="Times New Roman" w:cs="Times New Roman"/>
          <w:sz w:val="28"/>
          <w:szCs w:val="28"/>
        </w:rPr>
        <w:t>建立外部设施维护台账，定期检查连接件锈蚀情况、紧固件松动情况；每半年对可调节遮阳系统进行运行测试；每季度对太阳能光伏瓦进行清洁及发电效率检测；每年对空调室外机位进行检查，确保冷凝水排水通畅。</w:t>
      </w:r>
    </w:p>
    <w:p w14:paraId="6DA24B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/>
          <w:sz w:val="28"/>
          <w:szCs w:val="28"/>
          <w:lang w:eastAsia="zh-CN"/>
        </w:rPr>
        <w:t>（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部分外部设施设计说明及结构大样图如下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）</w:t>
      </w:r>
    </w:p>
    <w:p w14:paraId="3E6225C8">
      <w:r>
        <w:drawing>
          <wp:inline distT="0" distB="0" distL="114300" distR="114300">
            <wp:extent cx="5264150" cy="2132330"/>
            <wp:effectExtent l="0" t="0" r="635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53D4B">
      <w:r>
        <w:drawing>
          <wp:inline distT="0" distB="0" distL="114300" distR="114300">
            <wp:extent cx="5269865" cy="5720715"/>
            <wp:effectExtent l="0" t="0" r="63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33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2026-03-24T09:01:50Z</dcterms:created>
  <dc:creator>10705</dc:creator>
  <cp:lastModifiedBy>王翔</cp:lastModifiedBy>
  <dcterms:modified xsi:type="dcterms:W3CDTF">2026-03-24T09:09:54Z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eyJoZGlkIjoiMjhmOGRjYzBlNzQ0YjU0ZmY3Y2ZmMjA0NDlhYThiMDAiLCJ1c2VySWQiOiIxMTI2NTU4MDEwIn0=</vt:lpwstr>
  </property>
  <property fmtid="{D5CDD505-2E9C-101B-9397-08002B2CF9AE}" pid="4" name="ICV">
    <vt:lpwstr>8110A0BA69CF404AA3D2401996D58448_12</vt:lpwstr>
  </property>
</Properties>
</file>