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民宿人车分流专项设计文件</w:t>
      </w:r>
    </w:p>
    <w:p>
      <w:pPr>
        <w:spacing w:before="120" w:after="120" w:line="288" w:lineRule="auto"/>
        <w:ind w:left="0"/>
        <w:jc w:val="left"/>
      </w:pPr>
      <w:r>
        <w:rPr>
          <w:rFonts w:eastAsia="等线" w:ascii="Arial" w:cs="Arial" w:hAnsi="Arial"/>
          <w:sz w:val="22"/>
        </w:rPr>
        <w:t>一、总则</w:t>
      </w:r>
    </w:p>
    <w:p>
      <w:pPr>
        <w:spacing w:before="120" w:after="120" w:line="288" w:lineRule="auto"/>
        <w:ind w:left="0"/>
        <w:jc w:val="left"/>
      </w:pPr>
      <w:r>
        <w:rPr>
          <w:rFonts w:eastAsia="等线" w:ascii="Arial" w:cs="Arial" w:hAnsi="Arial"/>
          <w:sz w:val="22"/>
        </w:rPr>
        <w:t>（一）设计目的</w:t>
      </w:r>
    </w:p>
    <w:p>
      <w:pPr>
        <w:spacing w:before="120" w:after="120" w:line="288" w:lineRule="auto"/>
        <w:ind w:left="0"/>
        <w:jc w:val="left"/>
      </w:pPr>
      <w:r>
        <w:rPr>
          <w:rFonts w:eastAsia="等线" w:ascii="Arial" w:cs="Arial" w:hAnsi="Arial"/>
          <w:sz w:val="22"/>
        </w:rPr>
        <w:t>为规范民宿交通组织，实现人员通行与车辆行驶完全分离，消除车辆通行对游客人身安全的潜在隐患，保障民宿内部交通有序、顺畅，同时结合民宿地域特色与生态理念，减少车辆噪音、尾气对民宿居住环境的影响，提升游客住宿体验与民宿整体品质，特制定本专项设计文件，作为民宿人车分流系统设计、施工、验收及运营管理的核心依据。</w:t>
      </w:r>
    </w:p>
    <w:p>
      <w:pPr>
        <w:spacing w:before="120" w:after="120" w:line="288" w:lineRule="auto"/>
        <w:ind w:left="0"/>
        <w:jc w:val="left"/>
      </w:pPr>
      <w:r>
        <w:rPr>
          <w:rFonts w:eastAsia="等线" w:ascii="Arial" w:cs="Arial" w:hAnsi="Arial"/>
          <w:sz w:val="22"/>
        </w:rPr>
        <w:t>（二）设计依据</w:t>
      </w:r>
    </w:p>
    <w:p>
      <w:pPr>
        <w:numPr>
          <w:numId w:val="1"/>
        </w:numPr>
        <w:spacing w:before="120" w:after="120" w:line="288" w:lineRule="auto"/>
        <w:ind w:left="0"/>
        <w:jc w:val="left"/>
      </w:pPr>
      <w:r>
        <w:rPr>
          <w:rFonts w:eastAsia="等线" w:ascii="Arial" w:cs="Arial" w:hAnsi="Arial"/>
          <w:sz w:val="22"/>
        </w:rPr>
        <w:t>《建筑设计防火规范》（GB50016-2014）</w:t>
      </w:r>
    </w:p>
    <w:p>
      <w:pPr>
        <w:numPr>
          <w:numId w:val="2"/>
        </w:numPr>
        <w:spacing w:before="120" w:after="120" w:line="288" w:lineRule="auto"/>
        <w:ind w:left="0"/>
        <w:jc w:val="left"/>
      </w:pPr>
      <w:r>
        <w:rPr>
          <w:rFonts w:eastAsia="等线" w:ascii="Arial" w:cs="Arial" w:hAnsi="Arial"/>
          <w:sz w:val="22"/>
        </w:rPr>
        <w:t>《旅馆建筑设计规范》（JGJ62-2014）</w:t>
      </w:r>
    </w:p>
    <w:p>
      <w:pPr>
        <w:numPr>
          <w:numId w:val="3"/>
        </w:numPr>
        <w:spacing w:before="120" w:after="120" w:line="288" w:lineRule="auto"/>
        <w:ind w:left="0"/>
        <w:jc w:val="left"/>
      </w:pPr>
      <w:r>
        <w:rPr>
          <w:rFonts w:eastAsia="等线" w:ascii="Arial" w:cs="Arial" w:hAnsi="Arial"/>
          <w:sz w:val="22"/>
        </w:rPr>
        <w:t>《城市道路工程设计规范》（CJJ37-2012）</w:t>
      </w:r>
    </w:p>
    <w:p>
      <w:pPr>
        <w:numPr>
          <w:numId w:val="4"/>
        </w:numPr>
        <w:spacing w:before="120" w:after="120" w:line="288" w:lineRule="auto"/>
        <w:ind w:left="0"/>
        <w:jc w:val="left"/>
      </w:pPr>
      <w:r>
        <w:rPr>
          <w:rFonts w:eastAsia="等线" w:ascii="Arial" w:cs="Arial" w:hAnsi="Arial"/>
          <w:sz w:val="22"/>
        </w:rPr>
        <w:t>《无障碍设计规范》（GB50763-2012）</w:t>
      </w:r>
    </w:p>
    <w:p>
      <w:pPr>
        <w:numPr>
          <w:numId w:val="5"/>
        </w:numPr>
        <w:spacing w:before="120" w:after="120" w:line="288" w:lineRule="auto"/>
        <w:ind w:left="0"/>
        <w:jc w:val="left"/>
      </w:pPr>
      <w:r>
        <w:rPr>
          <w:rFonts w:eastAsia="等线" w:ascii="Arial" w:cs="Arial" w:hAnsi="Arial"/>
          <w:sz w:val="22"/>
        </w:rPr>
        <w:t>民宿总平面布局图、建筑设计方案及场地勘察报告</w:t>
      </w:r>
    </w:p>
    <w:p>
      <w:pPr>
        <w:numPr>
          <w:numId w:val="6"/>
        </w:numPr>
        <w:spacing w:before="120" w:after="120" w:line="288" w:lineRule="auto"/>
        <w:ind w:left="0"/>
        <w:jc w:val="left"/>
      </w:pPr>
      <w:r>
        <w:rPr>
          <w:rFonts w:eastAsia="等线" w:ascii="Arial" w:cs="Arial" w:hAnsi="Arial"/>
          <w:sz w:val="22"/>
        </w:rPr>
        <w:t>吐鲁番葡萄沟景区交通管理相关要求及民宿运营规划</w:t>
      </w:r>
    </w:p>
    <w:p>
      <w:pPr>
        <w:spacing w:before="120" w:after="120" w:line="288" w:lineRule="auto"/>
        <w:ind w:left="0"/>
        <w:jc w:val="left"/>
      </w:pPr>
      <w:r>
        <w:rPr>
          <w:rFonts w:eastAsia="等线" w:ascii="Arial" w:cs="Arial" w:hAnsi="Arial"/>
          <w:sz w:val="22"/>
        </w:rPr>
        <w:t>（三）设计原则</w:t>
      </w:r>
    </w:p>
    <w:p>
      <w:pPr>
        <w:spacing w:before="120" w:after="120" w:line="288" w:lineRule="auto"/>
        <w:ind w:left="0"/>
        <w:jc w:val="left"/>
      </w:pPr>
      <w:r>
        <w:rPr>
          <w:rFonts w:eastAsia="等线" w:ascii="Arial" w:cs="Arial" w:hAnsi="Arial"/>
          <w:sz w:val="22"/>
        </w:rPr>
        <w:t>1.  安全优先原则：严格划分人行通道与车行通道，确保两者完全分离，无交叉重叠，从根本上杜绝车辆碰撞、碾压等安全隐患，保障游客（尤其是老人、儿童）通行安全；</w:t>
      </w:r>
    </w:p>
    <w:p>
      <w:pPr>
        <w:spacing w:before="120" w:after="120" w:line="288" w:lineRule="auto"/>
        <w:ind w:left="0"/>
        <w:jc w:val="left"/>
      </w:pPr>
      <w:r>
        <w:rPr>
          <w:rFonts w:eastAsia="等线" w:ascii="Arial" w:cs="Arial" w:hAnsi="Arial"/>
          <w:sz w:val="22"/>
        </w:rPr>
        <w:t>2.  便捷高效原则：车行路线短捷顺畅，实现“入口-停车场-出口”闭环通行，减少车辆在民宿内部停留时间；人行路线便捷舒适，覆盖民宿所有功能区域，提升通行体验；</w:t>
      </w:r>
    </w:p>
    <w:p>
      <w:pPr>
        <w:spacing w:before="120" w:after="120" w:line="288" w:lineRule="auto"/>
        <w:ind w:left="0"/>
        <w:jc w:val="left"/>
      </w:pPr>
      <w:r>
        <w:rPr>
          <w:rFonts w:eastAsia="等线" w:ascii="Arial" w:cs="Arial" w:hAnsi="Arial"/>
          <w:sz w:val="22"/>
        </w:rPr>
        <w:t>3.  生态融合原则：分流系统设计与民宿建筑风格、葡萄沟地域景观、生态缓冲带有机结合，避免过度硬化地面，兼顾生态环保与美观性；</w:t>
      </w:r>
    </w:p>
    <w:p>
      <w:pPr>
        <w:spacing w:before="120" w:after="120" w:line="288" w:lineRule="auto"/>
        <w:ind w:left="0"/>
        <w:jc w:val="left"/>
      </w:pPr>
      <w:r>
        <w:rPr>
          <w:rFonts w:eastAsia="等线" w:ascii="Arial" w:cs="Arial" w:hAnsi="Arial"/>
          <w:sz w:val="22"/>
        </w:rPr>
        <w:t>4.  合规适配原则：符合国家相关规范及景区交通管理要求，适配民宿车辆保有量（规划停车位15个，含2个无障碍停车位），预留应急通道，满足应急救援需求；</w:t>
      </w:r>
    </w:p>
    <w:p>
      <w:pPr>
        <w:spacing w:before="120" w:after="120" w:line="288" w:lineRule="auto"/>
        <w:ind w:left="0"/>
        <w:jc w:val="left"/>
      </w:pPr>
      <w:r>
        <w:rPr>
          <w:rFonts w:eastAsia="等线" w:ascii="Arial" w:cs="Arial" w:hAnsi="Arial"/>
          <w:sz w:val="22"/>
        </w:rPr>
        <w:t>5.  耐久实用原则：分流设施选用耐候性、耐磨性强的材料，适配吐鲁番高温、多风、干燥气候，确保长期使用稳定，维护便捷。</w:t>
      </w:r>
    </w:p>
    <w:p>
      <w:pPr>
        <w:spacing w:before="120" w:after="120" w:line="288" w:lineRule="auto"/>
        <w:ind w:left="0"/>
        <w:jc w:val="left"/>
      </w:pPr>
      <w:r>
        <w:rPr>
          <w:rFonts w:eastAsia="等线" w:ascii="Arial" w:cs="Arial" w:hAnsi="Arial"/>
          <w:sz w:val="22"/>
        </w:rPr>
        <w:t>二、项目概况及分流整体规划</w:t>
      </w:r>
    </w:p>
    <w:p>
      <w:pPr>
        <w:spacing w:before="120" w:after="120" w:line="288" w:lineRule="auto"/>
        <w:ind w:left="0"/>
        <w:jc w:val="left"/>
      </w:pPr>
      <w:r>
        <w:rPr>
          <w:rFonts w:eastAsia="等线" w:ascii="Arial" w:cs="Arial" w:hAnsi="Arial"/>
          <w:sz w:val="22"/>
        </w:rPr>
        <w:t>（一）项目基础信息</w:t>
      </w:r>
    </w:p>
    <w:p>
      <w:pPr>
        <w:spacing w:before="120" w:after="120" w:line="288" w:lineRule="auto"/>
        <w:ind w:left="0"/>
        <w:jc w:val="left"/>
      </w:pPr>
      <w:r>
        <w:rPr>
          <w:rFonts w:eastAsia="等线" w:ascii="Arial" w:cs="Arial" w:hAnsi="Arial"/>
          <w:sz w:val="22"/>
        </w:rPr>
        <w:t>本项目为吐鲁番葡萄沟景区民宿，总用地面积1500㎡，总建筑面积1150㎡，地上3层、地下1层，规划客房22间，预计峰值接待游客40-50人；配套生态停车场1处，规划停车位15个（含2个无障碍停车位），主要服务于游客车辆、工作人员车辆及应急车辆，无大型车辆通行需求。</w:t>
      </w:r>
    </w:p>
    <w:p>
      <w:pPr>
        <w:spacing w:before="120" w:after="120" w:line="288" w:lineRule="auto"/>
        <w:ind w:left="0"/>
        <w:jc w:val="left"/>
      </w:pPr>
      <w:r>
        <w:rPr>
          <w:rFonts w:eastAsia="等线" w:ascii="Arial" w:cs="Arial" w:hAnsi="Arial"/>
          <w:sz w:val="22"/>
        </w:rPr>
        <w:t>（二）分流整体规划</w:t>
      </w:r>
    </w:p>
    <w:p>
      <w:pPr>
        <w:spacing w:before="120" w:after="120" w:line="288" w:lineRule="auto"/>
        <w:ind w:left="0"/>
        <w:jc w:val="left"/>
      </w:pPr>
      <w:r>
        <w:rPr>
          <w:rFonts w:eastAsia="等线" w:ascii="Arial" w:cs="Arial" w:hAnsi="Arial"/>
          <w:sz w:val="22"/>
        </w:rPr>
        <w:t>采用“完全分流”模式，将人行通道与车行通道在空间上完全分离，明确划分车行区域、人行区域，设置清晰的标识与隔离设施，实现“车辆不进核心区、人行不涉车行区”。具体规划如下：</w:t>
      </w:r>
    </w:p>
    <w:p>
      <w:pPr>
        <w:spacing w:before="120" w:after="120" w:line="288" w:lineRule="auto"/>
        <w:ind w:left="0"/>
        <w:jc w:val="left"/>
      </w:pPr>
      <w:r>
        <w:rPr>
          <w:rFonts w:eastAsia="等线" w:ascii="Arial" w:cs="Arial" w:hAnsi="Arial"/>
          <w:sz w:val="22"/>
        </w:rPr>
        <w:t>1.  车行区域：涵盖民宿入口车行通道、生态停车场、车行出口通道，全程闭环，不穿越民宿核心住宿区、公共休闲区、庭院景观区；</w:t>
      </w:r>
    </w:p>
    <w:p>
      <w:pPr>
        <w:spacing w:before="120" w:after="120" w:line="288" w:lineRule="auto"/>
        <w:ind w:left="0"/>
        <w:jc w:val="left"/>
      </w:pPr>
      <w:r>
        <w:rPr>
          <w:rFonts w:eastAsia="等线" w:ascii="Arial" w:cs="Arial" w:hAnsi="Arial"/>
          <w:sz w:val="22"/>
        </w:rPr>
        <w:t>2.  人行区域：涵盖民宿入口人行通道、庭院步道、建筑出入口、公共走廊、阳台等，全程与车行区域物理隔离，确保人员通行安全；</w:t>
      </w:r>
    </w:p>
    <w:p>
      <w:pPr>
        <w:spacing w:before="120" w:after="120" w:line="288" w:lineRule="auto"/>
        <w:ind w:left="0"/>
        <w:jc w:val="left"/>
      </w:pPr>
      <w:r>
        <w:rPr>
          <w:rFonts w:eastAsia="等线" w:ascii="Arial" w:cs="Arial" w:hAnsi="Arial"/>
          <w:sz w:val="22"/>
        </w:rPr>
        <w:t>3.  应急通道：单独设置应急通道，兼顾人行与应急车辆通行，平时作为人行辅助通道，紧急情况下可通行应急车辆，确保应急救援顺畅。</w:t>
      </w:r>
    </w:p>
    <w:p>
      <w:pPr>
        <w:spacing w:before="120" w:after="120" w:line="288" w:lineRule="auto"/>
        <w:ind w:left="0"/>
        <w:jc w:val="left"/>
      </w:pPr>
      <w:r>
        <w:rPr>
          <w:rFonts w:eastAsia="等线" w:ascii="Arial" w:cs="Arial" w:hAnsi="Arial"/>
          <w:sz w:val="22"/>
        </w:rPr>
        <w:t>三、详细设计方案</w:t>
      </w:r>
    </w:p>
    <w:p>
      <w:pPr>
        <w:spacing w:before="120" w:after="120" w:line="288" w:lineRule="auto"/>
        <w:ind w:left="0"/>
        <w:jc w:val="left"/>
      </w:pPr>
      <w:r>
        <w:rPr>
          <w:rFonts w:eastAsia="等线" w:ascii="Arial" w:cs="Arial" w:hAnsi="Arial"/>
          <w:sz w:val="22"/>
        </w:rPr>
        <w:t>（一）车行系统设计</w:t>
      </w:r>
    </w:p>
    <w:p>
      <w:pPr>
        <w:spacing w:before="120" w:after="120" w:line="288" w:lineRule="auto"/>
        <w:ind w:left="0"/>
        <w:jc w:val="left"/>
      </w:pPr>
      <w:r>
        <w:rPr>
          <w:rFonts w:eastAsia="等线" w:ascii="Arial" w:cs="Arial" w:hAnsi="Arial"/>
          <w:sz w:val="22"/>
        </w:rPr>
        <w:t>1.  车行入口与通道</w:t>
      </w:r>
    </w:p>
    <w:p>
      <w:pPr>
        <w:numPr>
          <w:numId w:val="7"/>
        </w:numPr>
        <w:spacing w:before="120" w:after="120" w:line="288" w:lineRule="auto"/>
        <w:ind w:left="0"/>
        <w:jc w:val="left"/>
      </w:pPr>
      <w:r>
        <w:rPr>
          <w:rFonts w:eastAsia="等线" w:ascii="Arial" w:cs="Arial" w:hAnsi="Arial"/>
          <w:sz w:val="22"/>
        </w:rPr>
        <w:t>设置位置：民宿东侧靠近景区道路处，单独设置车行入口，与人行入口保持10m距离，避免人车交叉；入口处设置车行标识牌、减速带，引导车辆有序进入。</w:t>
      </w:r>
    </w:p>
    <w:p>
      <w:pPr>
        <w:numPr>
          <w:numId w:val="8"/>
        </w:numPr>
        <w:spacing w:before="120" w:after="120" w:line="288" w:lineRule="auto"/>
        <w:ind w:left="0"/>
        <w:jc w:val="left"/>
      </w:pPr>
      <w:r>
        <w:rPr>
          <w:rFonts w:eastAsia="等线" w:ascii="Arial" w:cs="Arial" w:hAnsi="Arial"/>
          <w:sz w:val="22"/>
        </w:rPr>
        <w:t>通道规格：车行通道宽度4.5m，采用透水混凝土铺设，表面做防滑处理，适配当地多风、少雨气候，减少积水；通道两侧设置1.2m高木质围栏，与民宿建筑风格协调，隔离车行与人行区域。</w:t>
      </w:r>
    </w:p>
    <w:p>
      <w:pPr>
        <w:numPr>
          <w:numId w:val="9"/>
        </w:numPr>
        <w:spacing w:before="120" w:after="120" w:line="288" w:lineRule="auto"/>
        <w:ind w:left="0"/>
        <w:jc w:val="left"/>
      </w:pPr>
      <w:r>
        <w:rPr>
          <w:rFonts w:eastAsia="等线" w:ascii="Arial" w:cs="Arial" w:hAnsi="Arial"/>
          <w:sz w:val="22"/>
        </w:rPr>
        <w:t>通行要求：车行通道限速5km/h，禁止超车、停车，设置连续减速带（间距5m），确保车辆低速通行，避免噪音干扰民宿居住环境。</w:t>
      </w:r>
    </w:p>
    <w:p>
      <w:pPr>
        <w:spacing w:before="120" w:after="120" w:line="288" w:lineRule="auto"/>
        <w:ind w:left="0"/>
        <w:jc w:val="left"/>
      </w:pPr>
      <w:r>
        <w:rPr>
          <w:rFonts w:eastAsia="等线" w:ascii="Arial" w:cs="Arial" w:hAnsi="Arial"/>
          <w:sz w:val="22"/>
        </w:rPr>
        <w:t>2.  生态停车场设计</w:t>
      </w:r>
    </w:p>
    <w:p>
      <w:pPr>
        <w:numPr>
          <w:numId w:val="10"/>
        </w:numPr>
        <w:spacing w:before="120" w:after="120" w:line="288" w:lineRule="auto"/>
        <w:ind w:left="0"/>
        <w:jc w:val="left"/>
      </w:pPr>
      <w:r>
        <w:rPr>
          <w:rFonts w:eastAsia="等线" w:ascii="Arial" w:cs="Arial" w:hAnsi="Arial"/>
          <w:sz w:val="22"/>
        </w:rPr>
        <w:t>设置位置：车行通道末端，民宿东北侧，远离核心住宿区与庭院景观区，避免车辆噪音、尾气影响游客体验；停车场与车行通道、出口通道形成闭环，实现“进-停-出”顺畅流转。</w:t>
      </w:r>
    </w:p>
    <w:p>
      <w:pPr>
        <w:numPr>
          <w:numId w:val="11"/>
        </w:numPr>
        <w:spacing w:before="120" w:after="120" w:line="288" w:lineRule="auto"/>
        <w:ind w:left="0"/>
        <w:jc w:val="left"/>
      </w:pPr>
      <w:r>
        <w:rPr>
          <w:rFonts w:eastAsia="等线" w:ascii="Arial" w:cs="Arial" w:hAnsi="Arial"/>
          <w:sz w:val="22"/>
        </w:rPr>
        <w:t>规模与布局：规划停车位15个，其中小型轿车停车位13个（标准尺寸2.5m×5.0m），无障碍停车位2个（标准尺寸3.0m×5.0m），无障碍停车位靠近停车场入口，设置明显标识与无障碍坡道（坡度≤1:12）。</w:t>
      </w:r>
    </w:p>
    <w:p>
      <w:pPr>
        <w:numPr>
          <w:numId w:val="12"/>
        </w:numPr>
        <w:spacing w:before="120" w:after="120" w:line="288" w:lineRule="auto"/>
        <w:ind w:left="0"/>
        <w:jc w:val="left"/>
      </w:pPr>
      <w:r>
        <w:rPr>
          <w:rFonts w:eastAsia="等线" w:ascii="Arial" w:cs="Arial" w:hAnsi="Arial"/>
          <w:sz w:val="22"/>
        </w:rPr>
        <w:t>设施配置：停车场地面采用植草砖铺设，兼顾防滑、透水与生态环保；每个停车位设置挡车器，防止车辆越位；停车场设置照明设施，夜间亮度均匀，无暗角；配备小型消防器材，满足防火要求。</w:t>
      </w:r>
    </w:p>
    <w:p>
      <w:pPr>
        <w:spacing w:before="120" w:after="120" w:line="288" w:lineRule="auto"/>
        <w:ind w:left="0"/>
        <w:jc w:val="left"/>
      </w:pPr>
      <w:r>
        <w:rPr>
          <w:rFonts w:eastAsia="等线" w:ascii="Arial" w:cs="Arial" w:hAnsi="Arial"/>
          <w:sz w:val="22"/>
        </w:rPr>
        <w:t>3.  车行出口通道</w:t>
      </w:r>
    </w:p>
    <w:p>
      <w:pPr>
        <w:numPr>
          <w:numId w:val="13"/>
        </w:numPr>
        <w:spacing w:before="120" w:after="120" w:line="288" w:lineRule="auto"/>
        <w:ind w:left="0"/>
        <w:jc w:val="left"/>
      </w:pPr>
      <w:r>
        <w:rPr>
          <w:rFonts w:eastAsia="等线" w:ascii="Arial" w:cs="Arial" w:hAnsi="Arial"/>
          <w:sz w:val="22"/>
        </w:rPr>
        <w:t>设置位置：民宿北侧，与车行入口相对，形成闭环通行，避免车辆掉头、逆行；出口处设置出口标识牌、反光镜，确保车辆安全驶出。</w:t>
      </w:r>
    </w:p>
    <w:p>
      <w:pPr>
        <w:numPr>
          <w:numId w:val="14"/>
        </w:numPr>
        <w:spacing w:before="120" w:after="120" w:line="288" w:lineRule="auto"/>
        <w:ind w:left="0"/>
        <w:jc w:val="left"/>
      </w:pPr>
      <w:r>
        <w:rPr>
          <w:rFonts w:eastAsia="等线" w:ascii="Arial" w:cs="Arial" w:hAnsi="Arial"/>
          <w:sz w:val="22"/>
        </w:rPr>
        <w:t>通道规格：宽度4.0m，采用透水混凝土铺设，与车行入口通道材质一致；通道两侧设置木质围栏，与周边生态缓冲带衔接，提升美观度。</w:t>
      </w:r>
    </w:p>
    <w:p>
      <w:pPr>
        <w:spacing w:before="120" w:after="120" w:line="288" w:lineRule="auto"/>
        <w:ind w:left="0"/>
        <w:jc w:val="left"/>
      </w:pPr>
      <w:r>
        <w:rPr>
          <w:rFonts w:eastAsia="等线" w:ascii="Arial" w:cs="Arial" w:hAnsi="Arial"/>
          <w:sz w:val="22"/>
        </w:rPr>
        <w:t>4.  应急车辆通行设计</w:t>
      </w:r>
    </w:p>
    <w:p>
      <w:pPr>
        <w:numPr>
          <w:numId w:val="15"/>
        </w:numPr>
        <w:spacing w:before="120" w:after="120" w:line="288" w:lineRule="auto"/>
        <w:ind w:left="0"/>
        <w:jc w:val="left"/>
      </w:pPr>
      <w:r>
        <w:rPr>
          <w:rFonts w:eastAsia="等线" w:ascii="Arial" w:cs="Arial" w:hAnsi="Arial"/>
          <w:sz w:val="22"/>
        </w:rPr>
        <w:t>应急通道设置：单独设置应急通道，宽度4.5m，连接车行入口与民宿核心区域，平时作为人行辅助通道，设置隔离桩，禁止普通车辆通行；紧急情况下，移除隔离桩，可通行消防车、救护车等应急车辆。</w:t>
      </w:r>
    </w:p>
    <w:p>
      <w:pPr>
        <w:numPr>
          <w:numId w:val="16"/>
        </w:numPr>
        <w:spacing w:before="120" w:after="120" w:line="288" w:lineRule="auto"/>
        <w:ind w:left="0"/>
        <w:jc w:val="left"/>
      </w:pPr>
      <w:r>
        <w:rPr>
          <w:rFonts w:eastAsia="等线" w:ascii="Arial" w:cs="Arial" w:hAnsi="Arial"/>
          <w:sz w:val="22"/>
        </w:rPr>
        <w:t>通行保障：应急通道地面采用混凝土铺设，承载力满足应急车辆通行要求；通道内无任何障碍物，设置应急标识与照明设施，确保紧急情况下畅通无阻。</w:t>
      </w:r>
    </w:p>
    <w:p>
      <w:pPr>
        <w:spacing w:before="120" w:after="120" w:line="288" w:lineRule="auto"/>
        <w:ind w:left="0"/>
        <w:jc w:val="left"/>
      </w:pPr>
      <w:r>
        <w:rPr>
          <w:rFonts w:eastAsia="等线" w:ascii="Arial" w:cs="Arial" w:hAnsi="Arial"/>
          <w:sz w:val="22"/>
        </w:rPr>
        <w:t>（二）人行系统设计</w:t>
      </w:r>
    </w:p>
    <w:p>
      <w:pPr>
        <w:spacing w:before="120" w:after="120" w:line="288" w:lineRule="auto"/>
        <w:ind w:left="0"/>
        <w:jc w:val="left"/>
      </w:pPr>
      <w:r>
        <w:rPr>
          <w:rFonts w:eastAsia="等线" w:ascii="Arial" w:cs="Arial" w:hAnsi="Arial"/>
          <w:sz w:val="22"/>
        </w:rPr>
        <w:t>1.  人行入口与通道</w:t>
      </w:r>
    </w:p>
    <w:p>
      <w:pPr>
        <w:numPr>
          <w:numId w:val="17"/>
        </w:numPr>
        <w:spacing w:before="120" w:after="120" w:line="288" w:lineRule="auto"/>
        <w:ind w:left="0"/>
        <w:jc w:val="left"/>
      </w:pPr>
      <w:r>
        <w:rPr>
          <w:rFonts w:eastAsia="等线" w:ascii="Arial" w:cs="Arial" w:hAnsi="Arial"/>
          <w:sz w:val="22"/>
        </w:rPr>
        <w:t>设置位置：民宿南侧，靠近庭院景观区，与车行入口分离（间距10m），入口处设置人行标识牌、防滑坡道，适配无障碍通行需求。</w:t>
      </w:r>
    </w:p>
    <w:p>
      <w:pPr>
        <w:numPr>
          <w:numId w:val="18"/>
        </w:numPr>
        <w:spacing w:before="120" w:after="120" w:line="288" w:lineRule="auto"/>
        <w:ind w:left="0"/>
        <w:jc w:val="left"/>
      </w:pPr>
      <w:r>
        <w:rPr>
          <w:rFonts w:eastAsia="等线" w:ascii="Arial" w:cs="Arial" w:hAnsi="Arial"/>
          <w:sz w:val="22"/>
        </w:rPr>
        <w:t>通道规格：主人行通道宽度2.0m，采用青石板铺设，表面粗糙防滑，两侧种植葡萄藤、骆驼刺等本土植物，与民宿地域特色呼应；分支人行通道（连接庭院、建筑出入口）宽度1.5m，采用透水砖铺设，兼顾防滑与生态。</w:t>
      </w:r>
    </w:p>
    <w:p>
      <w:pPr>
        <w:numPr>
          <w:numId w:val="19"/>
        </w:numPr>
        <w:spacing w:before="120" w:after="120" w:line="288" w:lineRule="auto"/>
        <w:ind w:left="0"/>
        <w:jc w:val="left"/>
      </w:pPr>
      <w:r>
        <w:rPr>
          <w:rFonts w:eastAsia="等线" w:ascii="Arial" w:cs="Arial" w:hAnsi="Arial"/>
          <w:sz w:val="22"/>
        </w:rPr>
        <w:t>通行体验：人行通道全程无台阶（除建筑入口外），地面平整，设置休息座椅，供游客休憩；通道两侧设置景观灯带，夜间照明柔和，提升通行安全性与体验感。</w:t>
      </w:r>
    </w:p>
    <w:p>
      <w:pPr>
        <w:spacing w:before="120" w:after="120" w:line="288" w:lineRule="auto"/>
        <w:ind w:left="0"/>
        <w:jc w:val="left"/>
      </w:pPr>
      <w:r>
        <w:rPr>
          <w:rFonts w:eastAsia="等线" w:ascii="Arial" w:cs="Arial" w:hAnsi="Arial"/>
          <w:sz w:val="22"/>
        </w:rPr>
        <w:t>2.  庭院与人行步道</w:t>
      </w:r>
    </w:p>
    <w:p>
      <w:pPr>
        <w:numPr>
          <w:numId w:val="20"/>
        </w:numPr>
        <w:spacing w:before="120" w:after="120" w:line="288" w:lineRule="auto"/>
        <w:ind w:left="0"/>
        <w:jc w:val="left"/>
      </w:pPr>
      <w:r>
        <w:rPr>
          <w:rFonts w:eastAsia="等线" w:ascii="Arial" w:cs="Arial" w:hAnsi="Arial"/>
          <w:sz w:val="22"/>
        </w:rPr>
        <w:t>庭院内设置环形人行步道，宽度1.2m，围绕景观节点铺设，与客房出入口、公共休闲区、文化展示区连通，全程与车行区域物理隔离，确保游客在庭院内活动安全。</w:t>
      </w:r>
    </w:p>
    <w:p>
      <w:pPr>
        <w:numPr>
          <w:numId w:val="21"/>
        </w:numPr>
        <w:spacing w:before="120" w:after="120" w:line="288" w:lineRule="auto"/>
        <w:ind w:left="0"/>
        <w:jc w:val="left"/>
      </w:pPr>
      <w:r>
        <w:rPr>
          <w:rFonts w:eastAsia="等线" w:ascii="Arial" w:cs="Arial" w:hAnsi="Arial"/>
          <w:sz w:val="22"/>
        </w:rPr>
        <w:t>步道材质采用实木栈道与青石板结合，贴合民宿古朴自然的风格；步道两侧设置小型景观绿植，避免尖锐障碍物，保障通行安全。</w:t>
      </w:r>
    </w:p>
    <w:p>
      <w:pPr>
        <w:spacing w:before="120" w:after="120" w:line="288" w:lineRule="auto"/>
        <w:ind w:left="0"/>
        <w:jc w:val="left"/>
      </w:pPr>
      <w:r>
        <w:rPr>
          <w:rFonts w:eastAsia="等线" w:ascii="Arial" w:cs="Arial" w:hAnsi="Arial"/>
          <w:sz w:val="22"/>
        </w:rPr>
        <w:t>3.  建筑出入口与人行衔接</w:t>
      </w:r>
    </w:p>
    <w:p>
      <w:pPr>
        <w:numPr>
          <w:numId w:val="22"/>
        </w:numPr>
        <w:spacing w:before="120" w:after="120" w:line="288" w:lineRule="auto"/>
        <w:ind w:left="0"/>
        <w:jc w:val="left"/>
      </w:pPr>
      <w:r>
        <w:rPr>
          <w:rFonts w:eastAsia="等线" w:ascii="Arial" w:cs="Arial" w:hAnsi="Arial"/>
          <w:sz w:val="22"/>
        </w:rPr>
        <w:t>民宿主入口、客房出入口均设置人行平台（宽度≥1.5m），平台采用防滑石材铺设，设置防滑条；主入口设置无障碍坡道，与人行通道衔接，方便特殊人群通行。</w:t>
      </w:r>
    </w:p>
    <w:p>
      <w:pPr>
        <w:numPr>
          <w:numId w:val="23"/>
        </w:numPr>
        <w:spacing w:before="120" w:after="120" w:line="288" w:lineRule="auto"/>
        <w:ind w:left="0"/>
        <w:jc w:val="left"/>
      </w:pPr>
      <w:r>
        <w:rPr>
          <w:rFonts w:eastAsia="等线" w:ascii="Arial" w:cs="Arial" w:hAnsi="Arial"/>
          <w:sz w:val="22"/>
        </w:rPr>
        <w:t>建筑出入口与人行通道之间无高差，避免游客绊倒；入口处设置门廊，防止雨水、坠物影响通行安全。</w:t>
      </w:r>
    </w:p>
    <w:p>
      <w:pPr>
        <w:spacing w:before="120" w:after="120" w:line="288" w:lineRule="auto"/>
        <w:ind w:left="0"/>
        <w:jc w:val="left"/>
      </w:pPr>
      <w:r>
        <w:rPr>
          <w:rFonts w:eastAsia="等线" w:ascii="Arial" w:cs="Arial" w:hAnsi="Arial"/>
          <w:sz w:val="22"/>
        </w:rPr>
        <w:t>（三）隔离与标识系统设计</w:t>
      </w:r>
    </w:p>
    <w:p>
      <w:pPr>
        <w:spacing w:before="120" w:after="120" w:line="288" w:lineRule="auto"/>
        <w:ind w:left="0"/>
        <w:jc w:val="left"/>
      </w:pPr>
      <w:r>
        <w:rPr>
          <w:rFonts w:eastAsia="等线" w:ascii="Arial" w:cs="Arial" w:hAnsi="Arial"/>
          <w:sz w:val="22"/>
        </w:rPr>
        <w:t>1.  隔离设施</w:t>
      </w:r>
    </w:p>
    <w:p>
      <w:pPr>
        <w:numPr>
          <w:numId w:val="24"/>
        </w:numPr>
        <w:spacing w:before="120" w:after="120" w:line="288" w:lineRule="auto"/>
        <w:ind w:left="0"/>
        <w:jc w:val="left"/>
      </w:pPr>
      <w:r>
        <w:rPr>
          <w:rFonts w:eastAsia="等线" w:ascii="Arial" w:cs="Arial" w:hAnsi="Arial"/>
          <w:sz w:val="22"/>
        </w:rPr>
        <w:t>车行与人行区域采用木质围栏隔离，围栏高度1.2m，表面经防腐、防潮处理，适配吐鲁番气候，围栏上可添加葡萄纹样、民俗装饰，与民宿风格统一。</w:t>
      </w:r>
    </w:p>
    <w:p>
      <w:pPr>
        <w:numPr>
          <w:numId w:val="25"/>
        </w:numPr>
        <w:spacing w:before="120" w:after="120" w:line="288" w:lineRule="auto"/>
        <w:ind w:left="0"/>
        <w:jc w:val="left"/>
      </w:pPr>
      <w:r>
        <w:rPr>
          <w:rFonts w:eastAsia="等线" w:ascii="Arial" w:cs="Arial" w:hAnsi="Arial"/>
          <w:sz w:val="22"/>
        </w:rPr>
        <w:t>停车场与人行通道之间设置绿化带隔离（宽度0.8m），种植本土耐旱植物，既起到隔离作用，又提升生态景观效果；应急通道平时设置可移动隔离桩，紧急情况下可快速移除。</w:t>
      </w:r>
    </w:p>
    <w:p>
      <w:pPr>
        <w:numPr>
          <w:numId w:val="26"/>
        </w:numPr>
        <w:spacing w:before="120" w:after="120" w:line="288" w:lineRule="auto"/>
        <w:ind w:left="0"/>
        <w:jc w:val="left"/>
      </w:pPr>
      <w:r>
        <w:rPr>
          <w:rFonts w:eastAsia="等线" w:ascii="Arial" w:cs="Arial" w:hAnsi="Arial"/>
          <w:sz w:val="22"/>
        </w:rPr>
        <w:t>隔离设施安装牢固，避免大风天气倾倒，边角做圆弧处理，避免划伤游客。</w:t>
      </w:r>
    </w:p>
    <w:p>
      <w:pPr>
        <w:spacing w:before="120" w:after="120" w:line="288" w:lineRule="auto"/>
        <w:ind w:left="0"/>
        <w:jc w:val="left"/>
      </w:pPr>
      <w:r>
        <w:rPr>
          <w:rFonts w:eastAsia="等线" w:ascii="Arial" w:cs="Arial" w:hAnsi="Arial"/>
          <w:sz w:val="22"/>
        </w:rPr>
        <w:t>2.  标识系统</w:t>
      </w:r>
    </w:p>
    <w:p>
      <w:pPr>
        <w:numPr>
          <w:numId w:val="27"/>
        </w:numPr>
        <w:spacing w:before="120" w:after="120" w:line="288" w:lineRule="auto"/>
        <w:ind w:left="0"/>
        <w:jc w:val="left"/>
      </w:pPr>
      <w:r>
        <w:rPr>
          <w:rFonts w:eastAsia="等线" w:ascii="Arial" w:cs="Arial" w:hAnsi="Arial"/>
          <w:sz w:val="22"/>
        </w:rPr>
        <w:t>车行标识：在车行入口、出口、通道、停车场等部位，设置清晰的车行标识（如“车行入口”“限速5km/h”“停车场”“无障碍车位”），采用反光材质，夜间可清晰识别；标识造型融入葡萄元素，与民宿风格协调。</w:t>
      </w:r>
    </w:p>
    <w:p>
      <w:pPr>
        <w:numPr>
          <w:numId w:val="28"/>
        </w:numPr>
        <w:spacing w:before="120" w:after="120" w:line="288" w:lineRule="auto"/>
        <w:ind w:left="0"/>
        <w:jc w:val="left"/>
      </w:pPr>
      <w:r>
        <w:rPr>
          <w:rFonts w:eastAsia="等线" w:ascii="Arial" w:cs="Arial" w:hAnsi="Arial"/>
          <w:sz w:val="22"/>
        </w:rPr>
        <w:t>人行标识：在人行入口、通道、庭院步道等部位，设置人行标识（如“人行通道”“游客休憩区”），搭配简约图形符号，清晰指引人行路线；标识采用木质材质，与隔离围栏材质一致。</w:t>
      </w:r>
    </w:p>
    <w:p>
      <w:pPr>
        <w:numPr>
          <w:numId w:val="29"/>
        </w:numPr>
        <w:spacing w:before="120" w:after="120" w:line="288" w:lineRule="auto"/>
        <w:ind w:left="0"/>
        <w:jc w:val="left"/>
      </w:pPr>
      <w:r>
        <w:rPr>
          <w:rFonts w:eastAsia="等线" w:ascii="Arial" w:cs="Arial" w:hAnsi="Arial"/>
          <w:sz w:val="22"/>
        </w:rPr>
        <w:t>警示标识：在车行与人行隔离处、停车场边缘、应急通道等部位，设置警示标识（如“禁止行人进入”“注意车辆”“应急通道，禁止占用”），提醒游客与工作人员注意安全。</w:t>
      </w:r>
    </w:p>
    <w:p>
      <w:pPr>
        <w:spacing w:before="120" w:after="120" w:line="288" w:lineRule="auto"/>
        <w:ind w:left="0"/>
        <w:jc w:val="left"/>
      </w:pPr>
      <w:r>
        <w:rPr>
          <w:rFonts w:eastAsia="等线" w:ascii="Arial" w:cs="Arial" w:hAnsi="Arial"/>
          <w:sz w:val="22"/>
        </w:rPr>
        <w:t>四、施工要求</w:t>
      </w:r>
    </w:p>
    <w:p>
      <w:pPr>
        <w:spacing w:before="120" w:after="120" w:line="288" w:lineRule="auto"/>
        <w:ind w:left="0"/>
        <w:jc w:val="left"/>
      </w:pPr>
      <w:r>
        <w:rPr>
          <w:rFonts w:eastAsia="等线" w:ascii="Arial" w:cs="Arial" w:hAnsi="Arial"/>
          <w:sz w:val="22"/>
        </w:rPr>
        <w:t>（一）施工前期准备</w:t>
      </w:r>
    </w:p>
    <w:p>
      <w:pPr>
        <w:numPr>
          <w:numId w:val="30"/>
        </w:numPr>
        <w:spacing w:before="120" w:after="120" w:line="288" w:lineRule="auto"/>
        <w:ind w:left="0"/>
        <w:jc w:val="left"/>
      </w:pPr>
      <w:r>
        <w:rPr>
          <w:rFonts w:eastAsia="等线" w:ascii="Arial" w:cs="Arial" w:hAnsi="Arial"/>
          <w:sz w:val="22"/>
        </w:rPr>
        <w:t>施工前，核对车行、人行通道及停车场的位置、尺寸，确保与设计方案一致；清理施工场地，避免破坏周边植被与建筑结构。</w:t>
      </w:r>
    </w:p>
    <w:p>
      <w:pPr>
        <w:numPr>
          <w:numId w:val="31"/>
        </w:numPr>
        <w:spacing w:before="120" w:after="120" w:line="288" w:lineRule="auto"/>
        <w:ind w:left="0"/>
        <w:jc w:val="left"/>
      </w:pPr>
      <w:r>
        <w:rPr>
          <w:rFonts w:eastAsia="等线" w:ascii="Arial" w:cs="Arial" w:hAnsi="Arial"/>
          <w:sz w:val="22"/>
        </w:rPr>
        <w:t>选用符合设计要求的材料（透水混凝土、植草砖、青石板、防腐木材等），材料进场前进行检测，确保耐候性、耐磨性、承载力达标，适配当地气候。</w:t>
      </w:r>
    </w:p>
    <w:p>
      <w:pPr>
        <w:spacing w:before="120" w:after="120" w:line="288" w:lineRule="auto"/>
        <w:ind w:left="0"/>
        <w:jc w:val="left"/>
      </w:pPr>
      <w:r>
        <w:rPr>
          <w:rFonts w:eastAsia="等线" w:ascii="Arial" w:cs="Arial" w:hAnsi="Arial"/>
          <w:sz w:val="22"/>
        </w:rPr>
        <w:t>（二）具体施工要求</w:t>
      </w:r>
    </w:p>
    <w:p>
      <w:pPr>
        <w:numPr>
          <w:numId w:val="32"/>
        </w:numPr>
        <w:spacing w:before="120" w:after="120" w:line="288" w:lineRule="auto"/>
        <w:ind w:left="0"/>
        <w:jc w:val="left"/>
      </w:pPr>
      <w:r>
        <w:rPr>
          <w:rFonts w:eastAsia="等线" w:ascii="Arial" w:cs="Arial" w:hAnsi="Arial"/>
          <w:sz w:val="22"/>
        </w:rPr>
        <w:t>车行通道、停车场施工：严格按照设计尺寸铺设透水混凝土、植草砖，确保地面平整、防滑，坡度符合排水要求（≥1%），避免积水；挡车器、围栏安装牢固，位置准确。</w:t>
      </w:r>
    </w:p>
    <w:p>
      <w:pPr>
        <w:numPr>
          <w:numId w:val="33"/>
        </w:numPr>
        <w:spacing w:before="120" w:after="120" w:line="288" w:lineRule="auto"/>
        <w:ind w:left="0"/>
        <w:jc w:val="left"/>
      </w:pPr>
      <w:r>
        <w:rPr>
          <w:rFonts w:eastAsia="等线" w:ascii="Arial" w:cs="Arial" w:hAnsi="Arial"/>
          <w:sz w:val="22"/>
        </w:rPr>
        <w:t>人行通道、步道施工：青石板、透水砖铺贴平整，缝隙均匀，表面无破损、无松动；实木栈道安装牢固，做好防腐处理；无障碍坡道坡度、宽度符合规范要求，扶手安装牢固。</w:t>
      </w:r>
    </w:p>
    <w:p>
      <w:pPr>
        <w:numPr>
          <w:numId w:val="34"/>
        </w:numPr>
        <w:spacing w:before="120" w:after="120" w:line="288" w:lineRule="auto"/>
        <w:ind w:left="0"/>
        <w:jc w:val="left"/>
      </w:pPr>
      <w:r>
        <w:rPr>
          <w:rFonts w:eastAsia="等线" w:ascii="Arial" w:cs="Arial" w:hAnsi="Arial"/>
          <w:sz w:val="22"/>
        </w:rPr>
        <w:t>隔离与标识施工：围栏安装垂直、牢固，间距均匀，装饰元素贴合设计要求；标识安装位置显眼、无遮挡，固定牢固，反光标识确保夜间清晰可辨。</w:t>
      </w:r>
    </w:p>
    <w:p>
      <w:pPr>
        <w:numPr>
          <w:numId w:val="35"/>
        </w:numPr>
        <w:spacing w:before="120" w:after="120" w:line="288" w:lineRule="auto"/>
        <w:ind w:left="0"/>
        <w:jc w:val="left"/>
      </w:pPr>
      <w:r>
        <w:rPr>
          <w:rFonts w:eastAsia="等线" w:ascii="Arial" w:cs="Arial" w:hAnsi="Arial"/>
          <w:sz w:val="22"/>
        </w:rPr>
        <w:t>应急通道施工：地面铺设平整，承载力满足应急车辆通行要求；隔离桩安装可移动，便于紧急情况下快速移除；应急标识与照明设施安装到位，确保正常使用。</w:t>
      </w:r>
    </w:p>
    <w:p>
      <w:pPr>
        <w:spacing w:before="120" w:after="120" w:line="288" w:lineRule="auto"/>
        <w:ind w:left="0"/>
        <w:jc w:val="left"/>
      </w:pPr>
      <w:r>
        <w:rPr>
          <w:rFonts w:eastAsia="等线" w:ascii="Arial" w:cs="Arial" w:hAnsi="Arial"/>
          <w:sz w:val="22"/>
        </w:rPr>
        <w:t>（三）施工验收</w:t>
      </w:r>
    </w:p>
    <w:p>
      <w:pPr>
        <w:numPr>
          <w:numId w:val="36"/>
        </w:numPr>
        <w:spacing w:before="120" w:after="120" w:line="288" w:lineRule="auto"/>
        <w:ind w:left="0"/>
        <w:jc w:val="left"/>
      </w:pPr>
      <w:r>
        <w:rPr>
          <w:rFonts w:eastAsia="等线" w:ascii="Arial" w:cs="Arial" w:hAnsi="Arial"/>
          <w:sz w:val="22"/>
        </w:rPr>
        <w:t>施工完成后，对车行通道、人行通道、停车场、隔离设施、标识系统等进行全面验收，重点检查通行顺畅性、隔离有效性、设施牢固度及防滑性能。</w:t>
      </w:r>
    </w:p>
    <w:p>
      <w:pPr>
        <w:numPr>
          <w:numId w:val="37"/>
        </w:numPr>
        <w:spacing w:before="120" w:after="120" w:line="288" w:lineRule="auto"/>
        <w:ind w:left="0"/>
        <w:jc w:val="left"/>
      </w:pPr>
      <w:r>
        <w:rPr>
          <w:rFonts w:eastAsia="等线" w:ascii="Arial" w:cs="Arial" w:hAnsi="Arial"/>
          <w:sz w:val="22"/>
        </w:rPr>
        <w:t>委托第三方检测机构对通道承载力、防滑等级等进行检测，检测结果符合规范要求后方可投入使用；验收合格后，整理施工资料，归档留存。</w:t>
      </w:r>
    </w:p>
    <w:p>
      <w:pPr>
        <w:spacing w:before="120" w:after="120" w:line="288" w:lineRule="auto"/>
        <w:ind w:left="0"/>
        <w:jc w:val="left"/>
      </w:pPr>
      <w:r>
        <w:rPr>
          <w:rFonts w:eastAsia="等线" w:ascii="Arial" w:cs="Arial" w:hAnsi="Arial"/>
          <w:sz w:val="22"/>
        </w:rPr>
        <w:t>五、运营管理与维护措施</w:t>
      </w:r>
    </w:p>
    <w:p>
      <w:pPr>
        <w:spacing w:before="120" w:after="120" w:line="288" w:lineRule="auto"/>
        <w:ind w:left="0"/>
        <w:jc w:val="left"/>
      </w:pPr>
      <w:r>
        <w:rPr>
          <w:rFonts w:eastAsia="等线" w:ascii="Arial" w:cs="Arial" w:hAnsi="Arial"/>
          <w:sz w:val="22"/>
        </w:rPr>
        <w:t>（一）日常运营管理</w:t>
      </w:r>
    </w:p>
    <w:p>
      <w:pPr>
        <w:numPr>
          <w:numId w:val="38"/>
        </w:numPr>
        <w:spacing w:before="120" w:after="120" w:line="288" w:lineRule="auto"/>
        <w:ind w:left="0"/>
        <w:jc w:val="left"/>
      </w:pPr>
      <w:r>
        <w:rPr>
          <w:rFonts w:eastAsia="等线" w:ascii="Arial" w:cs="Arial" w:hAnsi="Arial"/>
          <w:sz w:val="22"/>
        </w:rPr>
        <w:t>建立人车分流管理制度，明确工作人员岗位职责，引导车辆有序停放、低速通行，禁止车辆驶入人行区域；禁止行人进入车行区域、停车场（除停车人员外）。</w:t>
      </w:r>
    </w:p>
    <w:p>
      <w:pPr>
        <w:numPr>
          <w:numId w:val="39"/>
        </w:numPr>
        <w:spacing w:before="120" w:after="120" w:line="288" w:lineRule="auto"/>
        <w:ind w:left="0"/>
        <w:jc w:val="left"/>
      </w:pPr>
      <w:r>
        <w:rPr>
          <w:rFonts w:eastAsia="等线" w:ascii="Arial" w:cs="Arial" w:hAnsi="Arial"/>
          <w:sz w:val="22"/>
        </w:rPr>
        <w:t>安排专人每日巡查，及时清理通道、停车场内的杂物、积水，确保通行顺畅；严禁在应急通道、人行通道、车行通道内堆放物品、停放车辆，保障通道畅通。</w:t>
      </w:r>
    </w:p>
    <w:p>
      <w:pPr>
        <w:numPr>
          <w:numId w:val="40"/>
        </w:numPr>
        <w:spacing w:before="120" w:after="120" w:line="288" w:lineRule="auto"/>
        <w:ind w:left="0"/>
        <w:jc w:val="left"/>
      </w:pPr>
      <w:r>
        <w:rPr>
          <w:rFonts w:eastAsia="等线" w:ascii="Arial" w:cs="Arial" w:hAnsi="Arial"/>
          <w:sz w:val="22"/>
        </w:rPr>
        <w:t>定期对停车场进行管理，规范车辆停放秩序，确保无障碍停车位不被占用；提醒车主锁好车辆，做好防盗措施。</w:t>
      </w:r>
    </w:p>
    <w:p>
      <w:pPr>
        <w:spacing w:before="120" w:after="120" w:line="288" w:lineRule="auto"/>
        <w:ind w:left="0"/>
        <w:jc w:val="left"/>
      </w:pPr>
      <w:r>
        <w:rPr>
          <w:rFonts w:eastAsia="等线" w:ascii="Arial" w:cs="Arial" w:hAnsi="Arial"/>
          <w:sz w:val="22"/>
        </w:rPr>
        <w:t>（二）设施维护</w:t>
      </w:r>
    </w:p>
    <w:p>
      <w:pPr>
        <w:numPr>
          <w:numId w:val="41"/>
        </w:numPr>
        <w:spacing w:before="120" w:after="120" w:line="288" w:lineRule="auto"/>
        <w:ind w:left="0"/>
        <w:jc w:val="left"/>
      </w:pPr>
      <w:r>
        <w:rPr>
          <w:rFonts w:eastAsia="等线" w:ascii="Arial" w:cs="Arial" w:hAnsi="Arial"/>
          <w:sz w:val="22"/>
        </w:rPr>
        <w:t>日常维护：每周清理隔离围栏、标识表面的灰尘、污渍，检查围栏、标识、挡车器等设施的牢固度，发现松动、破损及时加固、维修；定期检查通道地面，对破损、松动的地砖、石板进行更换。</w:t>
      </w:r>
    </w:p>
    <w:p>
      <w:pPr>
        <w:numPr>
          <w:numId w:val="42"/>
        </w:numPr>
        <w:spacing w:before="120" w:after="120" w:line="288" w:lineRule="auto"/>
        <w:ind w:left="0"/>
        <w:jc w:val="left"/>
      </w:pPr>
      <w:r>
        <w:rPr>
          <w:rFonts w:eastAsia="等线" w:ascii="Arial" w:cs="Arial" w:hAnsi="Arial"/>
          <w:sz w:val="22"/>
        </w:rPr>
        <w:t>定期维护：每半年对车行通道、停车场的透水设施进行清理，确保排水顺畅；每年对防腐木材（围栏、栈道）进行补漆处理，延长使用寿命；每年对标识系统进行全面检查，更换褪色、损坏的标识。</w:t>
      </w:r>
    </w:p>
    <w:p>
      <w:pPr>
        <w:numPr>
          <w:numId w:val="43"/>
        </w:numPr>
        <w:spacing w:before="120" w:after="120" w:line="288" w:lineRule="auto"/>
        <w:ind w:left="0"/>
        <w:jc w:val="left"/>
      </w:pPr>
      <w:r>
        <w:rPr>
          <w:rFonts w:eastAsia="等线" w:ascii="Arial" w:cs="Arial" w:hAnsi="Arial"/>
          <w:sz w:val="22"/>
        </w:rPr>
        <w:t>特殊维护：大风天气后，重点检查围栏、标识、隔离桩的牢固度，及时修复倾倒、损坏的设施；高温天气后，检查地面是否出现开裂，及时进行修补。</w:t>
      </w:r>
    </w:p>
    <w:p>
      <w:pPr>
        <w:spacing w:before="120" w:after="120" w:line="288" w:lineRule="auto"/>
        <w:ind w:left="0"/>
        <w:jc w:val="left"/>
      </w:pPr>
      <w:r>
        <w:rPr>
          <w:rFonts w:eastAsia="等线" w:ascii="Arial" w:cs="Arial" w:hAnsi="Arial"/>
          <w:sz w:val="22"/>
        </w:rPr>
        <w:t>（三）应急处置</w:t>
      </w:r>
    </w:p>
    <w:p>
      <w:pPr>
        <w:numPr>
          <w:numId w:val="44"/>
        </w:numPr>
        <w:spacing w:before="120" w:after="120" w:line="288" w:lineRule="auto"/>
        <w:ind w:left="0"/>
        <w:jc w:val="left"/>
      </w:pPr>
      <w:r>
        <w:rPr>
          <w:rFonts w:eastAsia="等线" w:ascii="Arial" w:cs="Arial" w:hAnsi="Arial"/>
          <w:sz w:val="22"/>
        </w:rPr>
        <w:t>制定应急处置预案，针对车辆碰撞、通道堵塞、设施损坏等突发情况，明确处置流程与责任人员，定期组织员工演练。</w:t>
      </w:r>
    </w:p>
    <w:p>
      <w:pPr>
        <w:numPr>
          <w:numId w:val="45"/>
        </w:numPr>
        <w:spacing w:before="120" w:after="120" w:line="288" w:lineRule="auto"/>
        <w:ind w:left="0"/>
        <w:jc w:val="left"/>
      </w:pPr>
      <w:r>
        <w:rPr>
          <w:rFonts w:eastAsia="等线" w:ascii="Arial" w:cs="Arial" w:hAnsi="Arial"/>
          <w:sz w:val="22"/>
        </w:rPr>
        <w:t>紧急情况下，快速移除应急通道的隔离桩，引导应急车辆通行；安排专人疏导人流、车流，避免发生二次安全隐患。</w:t>
      </w:r>
    </w:p>
    <w:p>
      <w:pPr>
        <w:spacing w:before="120" w:after="120" w:line="288" w:lineRule="auto"/>
        <w:ind w:left="0"/>
        <w:jc w:val="left"/>
      </w:pPr>
      <w:r>
        <w:rPr>
          <w:rFonts w:eastAsia="等线" w:ascii="Arial" w:cs="Arial" w:hAnsi="Arial"/>
          <w:sz w:val="22"/>
        </w:rPr>
        <w:t>六、合规性与安全性说明</w:t>
      </w:r>
    </w:p>
    <w:p>
      <w:pPr>
        <w:spacing w:before="120" w:after="120" w:line="288" w:lineRule="auto"/>
        <w:ind w:left="0"/>
        <w:jc w:val="left"/>
      </w:pPr>
      <w:r>
        <w:rPr>
          <w:rFonts w:eastAsia="等线" w:ascii="Arial" w:cs="Arial" w:hAnsi="Arial"/>
          <w:sz w:val="22"/>
        </w:rPr>
        <w:t>本民宿人车分流专项设计严格遵循国家相关规范及景区交通管理要求，采用完全分流模式，明确划分车行与人行区域，配套完善的隔离设施与标识系统，实现车辆与人员完全分离，有效消除车辆通行带来的安全隐患。</w:t>
      </w:r>
    </w:p>
    <w:p>
      <w:pPr>
        <w:spacing w:before="120" w:after="120" w:line="288" w:lineRule="auto"/>
        <w:ind w:left="0"/>
        <w:jc w:val="left"/>
      </w:pPr>
      <w:r>
        <w:rPr>
          <w:rFonts w:eastAsia="等线" w:ascii="Arial" w:cs="Arial" w:hAnsi="Arial"/>
          <w:sz w:val="22"/>
        </w:rPr>
        <w:t>设计方案适配民宿运营需求与当地气候特征，设施选型耐久实用，施工与维护措施完善，可确保人车分流系统长期稳定运行，既保障游客与工作人员的人身安全，又减少车辆对民宿居住环境的影响，提升民宿整体品质，符合评价标准及运营安全要求。</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18704257">
    <w:lvl>
      <w:numFmt w:val="bullet"/>
      <w:suff w:val="tab"/>
      <w:lvlText w:val="•"/>
      <w:rPr>
        <w:color w:val="3370ff"/>
      </w:rPr>
    </w:lvl>
  </w:abstractNum>
  <w:abstractNum w:abstractNumId="18704258">
    <w:lvl>
      <w:numFmt w:val="bullet"/>
      <w:suff w:val="tab"/>
      <w:lvlText w:val="•"/>
      <w:rPr>
        <w:color w:val="3370ff"/>
      </w:rPr>
    </w:lvl>
  </w:abstractNum>
  <w:abstractNum w:abstractNumId="18704259">
    <w:lvl>
      <w:numFmt w:val="bullet"/>
      <w:suff w:val="tab"/>
      <w:lvlText w:val="•"/>
      <w:rPr>
        <w:color w:val="3370ff"/>
      </w:rPr>
    </w:lvl>
  </w:abstractNum>
  <w:abstractNum w:abstractNumId="18704260">
    <w:lvl>
      <w:numFmt w:val="bullet"/>
      <w:suff w:val="tab"/>
      <w:lvlText w:val="•"/>
      <w:rPr>
        <w:color w:val="3370ff"/>
      </w:rPr>
    </w:lvl>
  </w:abstractNum>
  <w:abstractNum w:abstractNumId="18704261">
    <w:lvl>
      <w:numFmt w:val="bullet"/>
      <w:suff w:val="tab"/>
      <w:lvlText w:val="•"/>
      <w:rPr>
        <w:color w:val="3370ff"/>
      </w:rPr>
    </w:lvl>
  </w:abstractNum>
  <w:abstractNum w:abstractNumId="18704262">
    <w:lvl>
      <w:numFmt w:val="bullet"/>
      <w:suff w:val="tab"/>
      <w:lvlText w:val="•"/>
      <w:rPr>
        <w:color w:val="3370ff"/>
      </w:rPr>
    </w:lvl>
  </w:abstractNum>
  <w:abstractNum w:abstractNumId="18704263">
    <w:lvl>
      <w:numFmt w:val="bullet"/>
      <w:suff w:val="tab"/>
      <w:lvlText w:val="•"/>
      <w:rPr>
        <w:color w:val="3370ff"/>
      </w:rPr>
    </w:lvl>
  </w:abstractNum>
  <w:abstractNum w:abstractNumId="18704264">
    <w:lvl>
      <w:numFmt w:val="bullet"/>
      <w:suff w:val="tab"/>
      <w:lvlText w:val="•"/>
      <w:rPr>
        <w:color w:val="3370ff"/>
      </w:rPr>
    </w:lvl>
  </w:abstractNum>
  <w:abstractNum w:abstractNumId="18704265">
    <w:lvl>
      <w:numFmt w:val="bullet"/>
      <w:suff w:val="tab"/>
      <w:lvlText w:val="•"/>
      <w:rPr>
        <w:color w:val="3370ff"/>
      </w:rPr>
    </w:lvl>
  </w:abstractNum>
  <w:abstractNum w:abstractNumId="18704266">
    <w:lvl>
      <w:numFmt w:val="bullet"/>
      <w:suff w:val="tab"/>
      <w:lvlText w:val="•"/>
      <w:rPr>
        <w:color w:val="3370ff"/>
      </w:rPr>
    </w:lvl>
  </w:abstractNum>
  <w:abstractNum w:abstractNumId="18704267">
    <w:lvl>
      <w:numFmt w:val="bullet"/>
      <w:suff w:val="tab"/>
      <w:lvlText w:val="•"/>
      <w:rPr>
        <w:color w:val="3370ff"/>
      </w:rPr>
    </w:lvl>
  </w:abstractNum>
  <w:abstractNum w:abstractNumId="18704268">
    <w:lvl>
      <w:numFmt w:val="bullet"/>
      <w:suff w:val="tab"/>
      <w:lvlText w:val="•"/>
      <w:rPr>
        <w:color w:val="3370ff"/>
      </w:rPr>
    </w:lvl>
  </w:abstractNum>
  <w:abstractNum w:abstractNumId="18704269">
    <w:lvl>
      <w:numFmt w:val="bullet"/>
      <w:suff w:val="tab"/>
      <w:lvlText w:val="•"/>
      <w:rPr>
        <w:color w:val="3370ff"/>
      </w:rPr>
    </w:lvl>
  </w:abstractNum>
  <w:abstractNum w:abstractNumId="18704270">
    <w:lvl>
      <w:numFmt w:val="bullet"/>
      <w:suff w:val="tab"/>
      <w:lvlText w:val="•"/>
      <w:rPr>
        <w:color w:val="3370ff"/>
      </w:rPr>
    </w:lvl>
  </w:abstractNum>
  <w:abstractNum w:abstractNumId="18704271">
    <w:lvl>
      <w:numFmt w:val="bullet"/>
      <w:suff w:val="tab"/>
      <w:lvlText w:val="•"/>
      <w:rPr>
        <w:color w:val="3370ff"/>
      </w:rPr>
    </w:lvl>
  </w:abstractNum>
  <w:abstractNum w:abstractNumId="18704272">
    <w:lvl>
      <w:numFmt w:val="bullet"/>
      <w:suff w:val="tab"/>
      <w:lvlText w:val="•"/>
      <w:rPr>
        <w:color w:val="3370ff"/>
      </w:rPr>
    </w:lvl>
  </w:abstractNum>
  <w:abstractNum w:abstractNumId="18704273">
    <w:lvl>
      <w:numFmt w:val="bullet"/>
      <w:suff w:val="tab"/>
      <w:lvlText w:val="•"/>
      <w:rPr>
        <w:color w:val="3370ff"/>
      </w:rPr>
    </w:lvl>
  </w:abstractNum>
  <w:abstractNum w:abstractNumId="18704274">
    <w:lvl>
      <w:numFmt w:val="bullet"/>
      <w:suff w:val="tab"/>
      <w:lvlText w:val="•"/>
      <w:rPr>
        <w:color w:val="3370ff"/>
      </w:rPr>
    </w:lvl>
  </w:abstractNum>
  <w:abstractNum w:abstractNumId="18704275">
    <w:lvl>
      <w:numFmt w:val="bullet"/>
      <w:suff w:val="tab"/>
      <w:lvlText w:val="•"/>
      <w:rPr>
        <w:color w:val="3370ff"/>
      </w:rPr>
    </w:lvl>
  </w:abstractNum>
  <w:abstractNum w:abstractNumId="18704276">
    <w:lvl>
      <w:numFmt w:val="bullet"/>
      <w:suff w:val="tab"/>
      <w:lvlText w:val="•"/>
      <w:rPr>
        <w:color w:val="3370ff"/>
      </w:rPr>
    </w:lvl>
  </w:abstractNum>
  <w:abstractNum w:abstractNumId="18704277">
    <w:lvl>
      <w:numFmt w:val="bullet"/>
      <w:suff w:val="tab"/>
      <w:lvlText w:val="•"/>
      <w:rPr>
        <w:color w:val="3370ff"/>
      </w:rPr>
    </w:lvl>
  </w:abstractNum>
  <w:abstractNum w:abstractNumId="18704278">
    <w:lvl>
      <w:numFmt w:val="bullet"/>
      <w:suff w:val="tab"/>
      <w:lvlText w:val="•"/>
      <w:rPr>
        <w:color w:val="3370ff"/>
      </w:rPr>
    </w:lvl>
  </w:abstractNum>
  <w:abstractNum w:abstractNumId="18704279">
    <w:lvl>
      <w:numFmt w:val="bullet"/>
      <w:suff w:val="tab"/>
      <w:lvlText w:val="•"/>
      <w:rPr>
        <w:color w:val="3370ff"/>
      </w:rPr>
    </w:lvl>
  </w:abstractNum>
  <w:abstractNum w:abstractNumId="18704280">
    <w:lvl>
      <w:numFmt w:val="bullet"/>
      <w:suff w:val="tab"/>
      <w:lvlText w:val="•"/>
      <w:rPr>
        <w:color w:val="3370ff"/>
      </w:rPr>
    </w:lvl>
  </w:abstractNum>
  <w:abstractNum w:abstractNumId="18704281">
    <w:lvl>
      <w:numFmt w:val="bullet"/>
      <w:suff w:val="tab"/>
      <w:lvlText w:val="•"/>
      <w:rPr>
        <w:color w:val="3370ff"/>
      </w:rPr>
    </w:lvl>
  </w:abstractNum>
  <w:abstractNum w:abstractNumId="18704282">
    <w:lvl>
      <w:numFmt w:val="bullet"/>
      <w:suff w:val="tab"/>
      <w:lvlText w:val="•"/>
      <w:rPr>
        <w:color w:val="3370ff"/>
      </w:rPr>
    </w:lvl>
  </w:abstractNum>
  <w:abstractNum w:abstractNumId="18704283">
    <w:lvl>
      <w:numFmt w:val="bullet"/>
      <w:suff w:val="tab"/>
      <w:lvlText w:val="•"/>
      <w:rPr>
        <w:color w:val="3370ff"/>
      </w:rPr>
    </w:lvl>
  </w:abstractNum>
  <w:abstractNum w:abstractNumId="18704284">
    <w:lvl>
      <w:numFmt w:val="bullet"/>
      <w:suff w:val="tab"/>
      <w:lvlText w:val="•"/>
      <w:rPr>
        <w:color w:val="3370ff"/>
      </w:rPr>
    </w:lvl>
  </w:abstractNum>
  <w:abstractNum w:abstractNumId="18704285">
    <w:lvl>
      <w:numFmt w:val="bullet"/>
      <w:suff w:val="tab"/>
      <w:lvlText w:val="•"/>
      <w:rPr>
        <w:color w:val="3370ff"/>
      </w:rPr>
    </w:lvl>
  </w:abstractNum>
  <w:abstractNum w:abstractNumId="18704286">
    <w:lvl>
      <w:numFmt w:val="bullet"/>
      <w:suff w:val="tab"/>
      <w:lvlText w:val="•"/>
      <w:rPr>
        <w:color w:val="3370ff"/>
      </w:rPr>
    </w:lvl>
  </w:abstractNum>
  <w:abstractNum w:abstractNumId="18704287">
    <w:lvl>
      <w:numFmt w:val="bullet"/>
      <w:suff w:val="tab"/>
      <w:lvlText w:val="•"/>
      <w:rPr>
        <w:color w:val="3370ff"/>
      </w:rPr>
    </w:lvl>
  </w:abstractNum>
  <w:abstractNum w:abstractNumId="18704288">
    <w:lvl>
      <w:numFmt w:val="bullet"/>
      <w:suff w:val="tab"/>
      <w:lvlText w:val="•"/>
      <w:rPr>
        <w:color w:val="3370ff"/>
      </w:rPr>
    </w:lvl>
  </w:abstractNum>
  <w:abstractNum w:abstractNumId="18704289">
    <w:lvl>
      <w:numFmt w:val="bullet"/>
      <w:suff w:val="tab"/>
      <w:lvlText w:val="•"/>
      <w:rPr>
        <w:color w:val="3370ff"/>
      </w:rPr>
    </w:lvl>
  </w:abstractNum>
  <w:abstractNum w:abstractNumId="18704290">
    <w:lvl>
      <w:numFmt w:val="bullet"/>
      <w:suff w:val="tab"/>
      <w:lvlText w:val="•"/>
      <w:rPr>
        <w:color w:val="3370ff"/>
      </w:rPr>
    </w:lvl>
  </w:abstractNum>
  <w:abstractNum w:abstractNumId="18704291">
    <w:lvl>
      <w:numFmt w:val="bullet"/>
      <w:suff w:val="tab"/>
      <w:lvlText w:val="•"/>
      <w:rPr>
        <w:color w:val="3370ff"/>
      </w:rPr>
    </w:lvl>
  </w:abstractNum>
  <w:abstractNum w:abstractNumId="18704292">
    <w:lvl>
      <w:numFmt w:val="bullet"/>
      <w:suff w:val="tab"/>
      <w:lvlText w:val="•"/>
      <w:rPr>
        <w:color w:val="3370ff"/>
      </w:rPr>
    </w:lvl>
  </w:abstractNum>
  <w:abstractNum w:abstractNumId="18704293">
    <w:lvl>
      <w:numFmt w:val="bullet"/>
      <w:suff w:val="tab"/>
      <w:lvlText w:val="•"/>
      <w:rPr>
        <w:color w:val="3370ff"/>
      </w:rPr>
    </w:lvl>
  </w:abstractNum>
  <w:abstractNum w:abstractNumId="18704294">
    <w:lvl>
      <w:numFmt w:val="bullet"/>
      <w:suff w:val="tab"/>
      <w:lvlText w:val="•"/>
      <w:rPr>
        <w:color w:val="3370ff"/>
      </w:rPr>
    </w:lvl>
  </w:abstractNum>
  <w:abstractNum w:abstractNumId="18704295">
    <w:lvl>
      <w:numFmt w:val="bullet"/>
      <w:suff w:val="tab"/>
      <w:lvlText w:val="•"/>
      <w:rPr>
        <w:color w:val="3370ff"/>
      </w:rPr>
    </w:lvl>
  </w:abstractNum>
  <w:abstractNum w:abstractNumId="18704296">
    <w:lvl>
      <w:numFmt w:val="bullet"/>
      <w:suff w:val="tab"/>
      <w:lvlText w:val="•"/>
      <w:rPr>
        <w:color w:val="3370ff"/>
      </w:rPr>
    </w:lvl>
  </w:abstractNum>
  <w:abstractNum w:abstractNumId="18704297">
    <w:lvl>
      <w:numFmt w:val="bullet"/>
      <w:suff w:val="tab"/>
      <w:lvlText w:val="•"/>
      <w:rPr>
        <w:color w:val="3370ff"/>
      </w:rPr>
    </w:lvl>
  </w:abstractNum>
  <w:abstractNum w:abstractNumId="18704298">
    <w:lvl>
      <w:numFmt w:val="bullet"/>
      <w:suff w:val="tab"/>
      <w:lvlText w:val="•"/>
      <w:rPr>
        <w:color w:val="3370ff"/>
      </w:rPr>
    </w:lvl>
  </w:abstractNum>
  <w:abstractNum w:abstractNumId="18704299">
    <w:lvl>
      <w:numFmt w:val="bullet"/>
      <w:suff w:val="tab"/>
      <w:lvlText w:val="•"/>
      <w:rPr>
        <w:color w:val="3370ff"/>
      </w:rPr>
    </w:lvl>
  </w:abstractNum>
  <w:abstractNum w:abstractNumId="18704300">
    <w:lvl>
      <w:numFmt w:val="bullet"/>
      <w:suff w:val="tab"/>
      <w:lvlText w:val="•"/>
      <w:rPr>
        <w:color w:val="3370ff"/>
      </w:rPr>
    </w:lvl>
  </w:abstractNum>
  <w:abstractNum w:abstractNumId="18704301">
    <w:lvl>
      <w:numFmt w:val="bullet"/>
      <w:suff w:val="tab"/>
      <w:lvlText w:val="•"/>
      <w:rPr>
        <w:color w:val="3370ff"/>
      </w:rPr>
    </w:lvl>
  </w:abstractNum>
  <w:num w:numId="1">
    <w:abstractNumId w:val="18704257"/>
  </w:num>
  <w:num w:numId="2">
    <w:abstractNumId w:val="18704258"/>
  </w:num>
  <w:num w:numId="3">
    <w:abstractNumId w:val="18704259"/>
  </w:num>
  <w:num w:numId="4">
    <w:abstractNumId w:val="18704260"/>
  </w:num>
  <w:num w:numId="5">
    <w:abstractNumId w:val="18704261"/>
  </w:num>
  <w:num w:numId="6">
    <w:abstractNumId w:val="18704262"/>
  </w:num>
  <w:num w:numId="7">
    <w:abstractNumId w:val="18704263"/>
  </w:num>
  <w:num w:numId="8">
    <w:abstractNumId w:val="18704264"/>
  </w:num>
  <w:num w:numId="9">
    <w:abstractNumId w:val="18704265"/>
  </w:num>
  <w:num w:numId="10">
    <w:abstractNumId w:val="18704266"/>
  </w:num>
  <w:num w:numId="11">
    <w:abstractNumId w:val="18704267"/>
  </w:num>
  <w:num w:numId="12">
    <w:abstractNumId w:val="18704268"/>
  </w:num>
  <w:num w:numId="13">
    <w:abstractNumId w:val="18704269"/>
  </w:num>
  <w:num w:numId="14">
    <w:abstractNumId w:val="18704270"/>
  </w:num>
  <w:num w:numId="15">
    <w:abstractNumId w:val="18704271"/>
  </w:num>
  <w:num w:numId="16">
    <w:abstractNumId w:val="18704272"/>
  </w:num>
  <w:num w:numId="17">
    <w:abstractNumId w:val="18704273"/>
  </w:num>
  <w:num w:numId="18">
    <w:abstractNumId w:val="18704274"/>
  </w:num>
  <w:num w:numId="19">
    <w:abstractNumId w:val="18704275"/>
  </w:num>
  <w:num w:numId="20">
    <w:abstractNumId w:val="18704276"/>
  </w:num>
  <w:num w:numId="21">
    <w:abstractNumId w:val="18704277"/>
  </w:num>
  <w:num w:numId="22">
    <w:abstractNumId w:val="18704278"/>
  </w:num>
  <w:num w:numId="23">
    <w:abstractNumId w:val="18704279"/>
  </w:num>
  <w:num w:numId="24">
    <w:abstractNumId w:val="18704280"/>
  </w:num>
  <w:num w:numId="25">
    <w:abstractNumId w:val="18704281"/>
  </w:num>
  <w:num w:numId="26">
    <w:abstractNumId w:val="18704282"/>
  </w:num>
  <w:num w:numId="27">
    <w:abstractNumId w:val="18704283"/>
  </w:num>
  <w:num w:numId="28">
    <w:abstractNumId w:val="18704284"/>
  </w:num>
  <w:num w:numId="29">
    <w:abstractNumId w:val="18704285"/>
  </w:num>
  <w:num w:numId="30">
    <w:abstractNumId w:val="18704286"/>
  </w:num>
  <w:num w:numId="31">
    <w:abstractNumId w:val="18704287"/>
  </w:num>
  <w:num w:numId="32">
    <w:abstractNumId w:val="18704288"/>
  </w:num>
  <w:num w:numId="33">
    <w:abstractNumId w:val="18704289"/>
  </w:num>
  <w:num w:numId="34">
    <w:abstractNumId w:val="18704290"/>
  </w:num>
  <w:num w:numId="35">
    <w:abstractNumId w:val="18704291"/>
  </w:num>
  <w:num w:numId="36">
    <w:abstractNumId w:val="18704292"/>
  </w:num>
  <w:num w:numId="37">
    <w:abstractNumId w:val="18704293"/>
  </w:num>
  <w:num w:numId="38">
    <w:abstractNumId w:val="18704294"/>
  </w:num>
  <w:num w:numId="39">
    <w:abstractNumId w:val="18704295"/>
  </w:num>
  <w:num w:numId="40">
    <w:abstractNumId w:val="18704296"/>
  </w:num>
  <w:num w:numId="41">
    <w:abstractNumId w:val="18704297"/>
  </w:num>
  <w:num w:numId="42">
    <w:abstractNumId w:val="18704298"/>
  </w:num>
  <w:num w:numId="43">
    <w:abstractNumId w:val="18704299"/>
  </w:num>
  <w:num w:numId="44">
    <w:abstractNumId w:val="18704300"/>
  </w:num>
  <w:num w:numId="45">
    <w:abstractNumId w:val="1870430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2026-03-26T05:45:18Z</dcterms:created>
  <dc:creator>Apache POI</dc:creator>
</cp:coreProperties>
</file>