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BCF77">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绿色技术应用说明</w:t>
      </w:r>
    </w:p>
    <w:p w14:paraId="2601F15F">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rPr>
      </w:pPr>
      <w:r>
        <w:rPr>
          <w:rFonts w:hint="eastAsia" w:ascii="宋体" w:hAnsi="宋体" w:eastAsia="宋体" w:cs="宋体"/>
          <w:b/>
          <w:bCs/>
        </w:rPr>
        <w:t>本项目选址于阿拉善极端干旱的沙漠腹地，场地面临强日照、风沙频繁、极端干旱以及昼夜温差显著等严酷气候条件，同时毗邻极其脆弱的自然绿洲湖泊。针对上述环境特征，项目在总体规划、空间形态及建构层面引入了多层次、离网型（Off-grid）绿色技术体系，通过被动式气候响应策略与主动式微型能源基站的协同运作，构建了适应极端沙漠环境的生态度假建筑系统。绿色技术的应用并非单一设备的堆叠，而是基于“低影响开发（LID）”理念，形成了从场地防御、资源闭环到微气候调节的系统化整合策略。</w:t>
      </w:r>
    </w:p>
    <w:p w14:paraId="728A0362">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rPr>
      </w:pPr>
    </w:p>
    <w:p w14:paraId="3BCAAD5B">
      <w:pPr>
        <w:keepNext w:val="0"/>
        <w:keepLines w:val="0"/>
        <w:pageBreakBefore w:val="0"/>
        <w:widowControl w:val="0"/>
        <w:numPr>
          <w:ilvl w:val="0"/>
          <w:numId w:val="1"/>
        </w:numPr>
        <w:kinsoku/>
        <w:wordWrap/>
        <w:overflowPunct/>
        <w:topLinePunct w:val="0"/>
        <w:autoSpaceDE/>
        <w:autoSpaceDN/>
        <w:bidi w:val="0"/>
        <w:adjustRightInd/>
        <w:snapToGrid/>
        <w:ind w:left="-420" w:leftChars="0" w:firstLine="420" w:firstLineChars="0"/>
        <w:textAlignment w:val="auto"/>
      </w:pPr>
      <w:r>
        <w:t>极致水资源内循环：从被动捕获到零外排湿地净化的生命线系统</w:t>
      </w:r>
    </w:p>
    <w:p w14:paraId="09CB4AAD">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t>沙漠环境中的水资源尤为珍贵。项目摒弃了传统的高耗水模式，构建了极致的水资源闭环系统。在开源端，首创“被动式门窗水蒸气回收伞”，利用沙漠显著的昼夜温差，于夜间撑开伞面捕获空气中的冷凝水作为清洁水源补充。在净水端，客房产生的生活灰水被全部引导至场地前端的“阶梯式人工芦苇湿地”，经由砂石、植物根系与微生物的三级物理生物过滤后，转化为中水。该系统不仅满足了场地内沙生植物的精准滴灌与客房冲厕需求，更确立了绝对的物理生态隔离红线，实现了对原生自然湖泊的“零污水外排”与零干预。</w:t>
      </w:r>
    </w:p>
    <w:p w14:paraId="7C602FE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086985" cy="158559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086985" cy="1585595"/>
                    </a:xfrm>
                    <a:prstGeom prst="rect">
                      <a:avLst/>
                    </a:prstGeom>
                    <a:noFill/>
                    <a:ln>
                      <a:noFill/>
                    </a:ln>
                  </pic:spPr>
                </pic:pic>
              </a:graphicData>
            </a:graphic>
          </wp:inline>
        </w:drawing>
      </w:r>
    </w:p>
    <w:p w14:paraId="12928F97">
      <w:pPr>
        <w:pStyle w:val="3"/>
        <w:keepNext w:val="0"/>
        <w:keepLines w:val="0"/>
        <w:pageBreakBefore w:val="0"/>
        <w:widowControl w:val="0"/>
        <w:numPr>
          <w:ilvl w:val="0"/>
          <w:numId w:val="0"/>
        </w:numPr>
        <w:kinsoku/>
        <w:wordWrap/>
        <w:overflowPunct/>
        <w:topLinePunct w:val="0"/>
        <w:autoSpaceDE/>
        <w:autoSpaceDN/>
        <w:bidi w:val="0"/>
        <w:adjustRightInd/>
        <w:snapToGrid/>
        <w:ind w:leftChars="0" w:firstLine="400" w:firstLineChars="200"/>
        <w:jc w:val="center"/>
        <w:textAlignment w:val="auto"/>
        <w:rPr>
          <w:rFonts w:hint="eastAsia" w:eastAsiaTheme="minorEastAsia"/>
          <w:lang w:eastAsia="zh-CN"/>
        </w:rPr>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极限环境水资源闭环系统分析图</w:t>
      </w:r>
    </w:p>
    <w:p w14:paraId="48B41273">
      <w:pPr>
        <w:keepNext w:val="0"/>
        <w:keepLines w:val="0"/>
        <w:pageBreakBefore w:val="0"/>
        <w:widowControl w:val="0"/>
        <w:kinsoku/>
        <w:wordWrap/>
        <w:overflowPunct/>
        <w:topLinePunct w:val="0"/>
        <w:autoSpaceDE/>
        <w:autoSpaceDN/>
        <w:bidi w:val="0"/>
        <w:adjustRightInd/>
        <w:snapToGrid/>
        <w:ind w:firstLine="420" w:firstLineChars="200"/>
        <w:textAlignment w:val="auto"/>
      </w:pPr>
    </w:p>
    <w:p w14:paraId="2980D3E2">
      <w:pPr>
        <w:keepNext w:val="0"/>
        <w:keepLines w:val="0"/>
        <w:pageBreakBefore w:val="0"/>
        <w:widowControl w:val="0"/>
        <w:numPr>
          <w:ilvl w:val="0"/>
          <w:numId w:val="1"/>
        </w:numPr>
        <w:kinsoku/>
        <w:wordWrap/>
        <w:overflowPunct/>
        <w:topLinePunct w:val="0"/>
        <w:autoSpaceDE/>
        <w:autoSpaceDN/>
        <w:bidi w:val="0"/>
        <w:adjustRightInd/>
        <w:snapToGrid/>
        <w:ind w:left="-420" w:leftChars="0" w:firstLine="420" w:firstLineChars="0"/>
        <w:textAlignment w:val="auto"/>
      </w:pPr>
      <w:r>
        <w:t>动态表皮与防御性墙体：应对极端气候的双面围护边界</w:t>
      </w:r>
    </w:p>
    <w:p w14:paraId="6FA00492">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p>
    <w:p w14:paraId="43DCB2BA">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t>针对沙漠地区强烈的太阳辐射与具有破坏性的西北风沙，建筑外围护采取了“双面响应”的建构策略。在迎风面（背向湖泊侧），采用高热惰性的夯土复合厚重实体墙，构建抵御风沙侵袭的第一道堡垒，有效延缓室外极端热量向室内传递。在观景面（面向湖泊侧），则引入了参数化光控可变折叠遮阳表皮。该系统能够根据沙漠日照轨迹与辐射强度进行动态调节：正午时分高度闭合以阻隔热辐射；晨昏及夜间则适度开启以引入自然采光与景观。此策略实现了建筑防风沙保温与高品质观景的完美平衡。</w:t>
      </w:r>
    </w:p>
    <w:p w14:paraId="326E1C14">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366385" cy="2728595"/>
            <wp:effectExtent l="0" t="0" r="57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366385" cy="2728595"/>
                    </a:xfrm>
                    <a:prstGeom prst="rect">
                      <a:avLst/>
                    </a:prstGeom>
                    <a:noFill/>
                    <a:ln>
                      <a:noFill/>
                    </a:ln>
                  </pic:spPr>
                </pic:pic>
              </a:graphicData>
            </a:graphic>
          </wp:inline>
        </w:drawing>
      </w:r>
    </w:p>
    <w:p w14:paraId="46B15CE3">
      <w:pPr>
        <w:pStyle w:val="3"/>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建构体系与智能表皮节点群图</w:t>
      </w:r>
    </w:p>
    <w:p w14:paraId="6DC25E7A">
      <w:pPr>
        <w:keepNext w:val="0"/>
        <w:keepLines w:val="0"/>
        <w:pageBreakBefore w:val="0"/>
        <w:widowControl w:val="0"/>
        <w:kinsoku/>
        <w:wordWrap/>
        <w:overflowPunct/>
        <w:topLinePunct w:val="0"/>
        <w:autoSpaceDE/>
        <w:autoSpaceDN/>
        <w:bidi w:val="0"/>
        <w:adjustRightInd/>
        <w:snapToGrid/>
        <w:ind w:firstLine="420" w:firstLineChars="200"/>
        <w:textAlignment w:val="auto"/>
      </w:pPr>
    </w:p>
    <w:p w14:paraId="69FDC36A">
      <w:pPr>
        <w:keepNext w:val="0"/>
        <w:keepLines w:val="0"/>
        <w:pageBreakBefore w:val="0"/>
        <w:widowControl w:val="0"/>
        <w:kinsoku/>
        <w:wordWrap/>
        <w:overflowPunct/>
        <w:topLinePunct w:val="0"/>
        <w:autoSpaceDE/>
        <w:autoSpaceDN/>
        <w:bidi w:val="0"/>
        <w:adjustRightInd/>
        <w:snapToGrid/>
        <w:textAlignment w:val="auto"/>
      </w:pPr>
      <w:r>
        <w:t>三、 离网能源矩阵：光地协同的独立微电网系统</w:t>
      </w:r>
    </w:p>
    <w:p w14:paraId="3861C040">
      <w:pPr>
        <w:keepNext w:val="0"/>
        <w:keepLines w:val="0"/>
        <w:pageBreakBefore w:val="0"/>
        <w:widowControl w:val="0"/>
        <w:kinsoku/>
        <w:wordWrap/>
        <w:overflowPunct/>
        <w:topLinePunct w:val="0"/>
        <w:autoSpaceDE/>
        <w:autoSpaceDN/>
        <w:bidi w:val="0"/>
        <w:adjustRightInd/>
        <w:snapToGrid/>
        <w:ind w:firstLine="420" w:firstLineChars="200"/>
        <w:textAlignment w:val="auto"/>
      </w:pPr>
      <w:r>
        <w:t>为应对沙漠腹地基础设施匮乏的现状，项目规划了完全独立的离网能源基站。在地上部分，光伏建筑一体化（BIPV）阵列被大面积集成于屋顶结构及后勤停车场遮阳棚上，将高强度的太阳辐射转化为建筑运转的清洁电力。在地下部分，利用道路下方空间深埋百米级的垂直闭环地埋管网，引入地源热泵系统。结合地下恒定的温度，为建筑空调系统提供高效的冬季提热与夏季排热支持。光地两套系统通过核心设备机房的储能电池组进行全天候的能源调配，显著降低了化石能源消耗。</w:t>
      </w:r>
    </w:p>
    <w:p w14:paraId="2D80D7EF">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2609215" cy="2343785"/>
            <wp:effectExtent l="0" t="0" r="698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609215" cy="2343785"/>
                    </a:xfrm>
                    <a:prstGeom prst="rect">
                      <a:avLst/>
                    </a:prstGeom>
                    <a:noFill/>
                    <a:ln>
                      <a:noFill/>
                    </a:ln>
                  </pic:spPr>
                </pic:pic>
              </a:graphicData>
            </a:graphic>
          </wp:inline>
        </w:drawing>
      </w:r>
    </w:p>
    <w:p w14:paraId="4F9038E3">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2660650" cy="1248410"/>
            <wp:effectExtent l="0" t="0" r="635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660650" cy="1248410"/>
                    </a:xfrm>
                    <a:prstGeom prst="rect">
                      <a:avLst/>
                    </a:prstGeom>
                    <a:noFill/>
                    <a:ln>
                      <a:noFill/>
                    </a:ln>
                  </pic:spPr>
                </pic:pic>
              </a:graphicData>
            </a:graphic>
          </wp:inline>
        </w:drawing>
      </w:r>
    </w:p>
    <w:p w14:paraId="6FD46ACE">
      <w:pPr>
        <w:pStyle w:val="3"/>
        <w:keepNext w:val="0"/>
        <w:keepLines w:val="0"/>
        <w:pageBreakBefore w:val="0"/>
        <w:widowControl w:val="0"/>
        <w:kinsoku/>
        <w:wordWrap/>
        <w:overflowPunct/>
        <w:topLinePunct w:val="0"/>
        <w:autoSpaceDE/>
        <w:autoSpaceDN/>
        <w:bidi w:val="0"/>
        <w:adjustRightInd/>
        <w:snapToGrid/>
        <w:jc w:val="center"/>
        <w:textAlignment w:val="auto"/>
      </w:pPr>
      <w:r>
        <w:t>图 3 离网能源基站与地热系统图</w:t>
      </w:r>
    </w:p>
    <w:p w14:paraId="23D96571">
      <w:pPr>
        <w:keepNext w:val="0"/>
        <w:keepLines w:val="0"/>
        <w:pageBreakBefore w:val="0"/>
        <w:widowControl w:val="0"/>
        <w:kinsoku/>
        <w:wordWrap/>
        <w:overflowPunct/>
        <w:topLinePunct w:val="0"/>
        <w:autoSpaceDE/>
        <w:autoSpaceDN/>
        <w:bidi w:val="0"/>
        <w:adjustRightInd/>
        <w:snapToGrid/>
        <w:ind w:firstLine="420" w:firstLineChars="200"/>
        <w:textAlignment w:val="auto"/>
      </w:pPr>
    </w:p>
    <w:p w14:paraId="0102299E">
      <w:pPr>
        <w:keepNext w:val="0"/>
        <w:keepLines w:val="0"/>
        <w:pageBreakBefore w:val="0"/>
        <w:widowControl w:val="0"/>
        <w:kinsoku/>
        <w:wordWrap/>
        <w:overflowPunct/>
        <w:topLinePunct w:val="0"/>
        <w:autoSpaceDE/>
        <w:autoSpaceDN/>
        <w:bidi w:val="0"/>
        <w:adjustRightInd/>
        <w:snapToGrid/>
        <w:textAlignment w:val="auto"/>
      </w:pPr>
      <w:r>
        <w:t>四、 风热协同设计：结合捕风塔的被动式微气候调节</w:t>
      </w:r>
    </w:p>
    <w:p w14:paraId="1FF1A318">
      <w:pPr>
        <w:keepNext w:val="0"/>
        <w:keepLines w:val="0"/>
        <w:pageBreakBefore w:val="0"/>
        <w:widowControl w:val="0"/>
        <w:kinsoku/>
        <w:wordWrap/>
        <w:overflowPunct/>
        <w:topLinePunct w:val="0"/>
        <w:autoSpaceDE/>
        <w:autoSpaceDN/>
        <w:bidi w:val="0"/>
        <w:adjustRightInd/>
        <w:snapToGrid/>
        <w:ind w:firstLine="420" w:firstLineChars="200"/>
        <w:textAlignment w:val="auto"/>
      </w:pPr>
      <w:r>
        <w:t>项目充分挖掘被动式设计的潜力，在建筑单体中引入了风热协同的气候调节机制。设计在迎风面高处设置捕风塔，主动捕获高空较为凉爽的西北风。冷空气被导入建筑内部后，结合封闭中庭或室内的细水景观进行蒸发冷却，进一步降低空气温度并增加湿度。随后，冷风穿过客房区域带走人体与设备余热，最终通过滨水侧的高侧窗，利用“热压效应”拔风排出室外。这种被动式的穿堂风气流组织，极大降低了过渡季节对机械制冷系统的依赖。</w:t>
      </w:r>
    </w:p>
    <w:p w14:paraId="5E8DFAB4">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55260" cy="10852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55260" cy="1085215"/>
                    </a:xfrm>
                    <a:prstGeom prst="rect">
                      <a:avLst/>
                    </a:prstGeom>
                    <a:noFill/>
                    <a:ln>
                      <a:noFill/>
                    </a:ln>
                  </pic:spPr>
                </pic:pic>
              </a:graphicData>
            </a:graphic>
          </wp:inline>
        </w:drawing>
      </w:r>
    </w:p>
    <w:p w14:paraId="476705FD">
      <w:pPr>
        <w:pStyle w:val="3"/>
        <w:keepNext w:val="0"/>
        <w:keepLines w:val="0"/>
        <w:pageBreakBefore w:val="0"/>
        <w:widowControl w:val="0"/>
        <w:kinsoku/>
        <w:wordWrap/>
        <w:overflowPunct/>
        <w:topLinePunct w:val="0"/>
        <w:autoSpaceDE/>
        <w:autoSpaceDN/>
        <w:bidi w:val="0"/>
        <w:adjustRightInd/>
        <w:snapToGrid/>
        <w:jc w:val="center"/>
        <w:textAlignment w:val="auto"/>
      </w:pPr>
      <w:r>
        <w:t>图 4 风热协同与被动式微气候剖面图</w:t>
      </w:r>
    </w:p>
    <w:p w14:paraId="20392685">
      <w:pPr>
        <w:keepNext w:val="0"/>
        <w:keepLines w:val="0"/>
        <w:pageBreakBefore w:val="0"/>
        <w:widowControl w:val="0"/>
        <w:kinsoku/>
        <w:wordWrap/>
        <w:overflowPunct/>
        <w:topLinePunct w:val="0"/>
        <w:autoSpaceDE/>
        <w:autoSpaceDN/>
        <w:bidi w:val="0"/>
        <w:adjustRightInd/>
        <w:snapToGrid/>
        <w:textAlignment w:val="auto"/>
      </w:pPr>
    </w:p>
    <w:p w14:paraId="266C9956">
      <w:pPr>
        <w:keepNext w:val="0"/>
        <w:keepLines w:val="0"/>
        <w:pageBreakBefore w:val="0"/>
        <w:widowControl w:val="0"/>
        <w:kinsoku/>
        <w:wordWrap/>
        <w:overflowPunct/>
        <w:topLinePunct w:val="0"/>
        <w:autoSpaceDE/>
        <w:autoSpaceDN/>
        <w:bidi w:val="0"/>
        <w:adjustRightInd/>
        <w:snapToGrid/>
        <w:textAlignment w:val="auto"/>
      </w:pPr>
      <w:r>
        <w:t>五、 系统协同：基于低影响开发的全域生态整合</w:t>
      </w:r>
    </w:p>
    <w:p w14:paraId="512C0608">
      <w:pPr>
        <w:keepNext w:val="0"/>
        <w:keepLines w:val="0"/>
        <w:pageBreakBefore w:val="0"/>
        <w:widowControl w:val="0"/>
        <w:kinsoku/>
        <w:wordWrap/>
        <w:overflowPunct/>
        <w:topLinePunct w:val="0"/>
        <w:autoSpaceDE/>
        <w:autoSpaceDN/>
        <w:bidi w:val="0"/>
        <w:adjustRightInd/>
        <w:snapToGrid/>
        <w:ind w:firstLine="420" w:firstLineChars="200"/>
        <w:textAlignment w:val="auto"/>
      </w:pPr>
      <w:r>
        <w:t>本项目的绿色技术应用强调从宏观场地到微观构件的深度协同。整体“L型”建筑形态作为风力合围屏障，改变了场地的空气动力学环境；微型钢制螺旋地桩基础实现了底层架空，避免了对脆弱沙地的开挖破坏；离网能源矩阵提供动力，水循环系统维持生机，而可变表皮与捕风塔则犹如建筑的呼吸器官。通过这些多层级技术的紧密叠加与协作，建筑不再是自然环境的消耗者，而是一个能够自我调节、与沙漠微气候和谐共生的生态机器。</w:t>
      </w:r>
    </w:p>
    <w:p w14:paraId="46529B8F">
      <w:pPr>
        <w:keepNext w:val="0"/>
        <w:keepLines w:val="0"/>
        <w:pageBreakBefore w:val="0"/>
        <w:widowControl w:val="0"/>
        <w:kinsoku/>
        <w:wordWrap/>
        <w:overflowPunct/>
        <w:topLinePunct w:val="0"/>
        <w:autoSpaceDE/>
        <w:autoSpaceDN/>
        <w:bidi w:val="0"/>
        <w:adjustRightInd/>
        <w:snapToGrid/>
        <w:textAlignment w:val="auto"/>
      </w:pPr>
    </w:p>
    <w:p w14:paraId="01E70E55">
      <w:pPr>
        <w:keepNext w:val="0"/>
        <w:keepLines w:val="0"/>
        <w:pageBreakBefore w:val="0"/>
        <w:widowControl w:val="0"/>
        <w:kinsoku/>
        <w:wordWrap/>
        <w:overflowPunct/>
        <w:topLinePunct w:val="0"/>
        <w:autoSpaceDE/>
        <w:autoSpaceDN/>
        <w:bidi w:val="0"/>
        <w:adjustRightInd/>
        <w:snapToGrid/>
        <w:textAlignment w:val="auto"/>
      </w:pPr>
      <w:r>
        <w:t>六、 结语</w:t>
      </w:r>
    </w:p>
    <w:p w14:paraId="222A9C8A">
      <w:pPr>
        <w:keepNext w:val="0"/>
        <w:keepLines w:val="0"/>
        <w:pageBreakBefore w:val="0"/>
        <w:widowControl w:val="0"/>
        <w:kinsoku/>
        <w:wordWrap/>
        <w:overflowPunct/>
        <w:topLinePunct w:val="0"/>
        <w:autoSpaceDE/>
        <w:autoSpaceDN/>
        <w:bidi w:val="0"/>
        <w:adjustRightInd/>
        <w:snapToGrid/>
        <w:ind w:firstLine="420" w:firstLineChars="200"/>
        <w:textAlignment w:val="auto"/>
      </w:pPr>
      <w:r>
        <w:t>本项目的绿色技术策略以沙漠独特的自然特质为出发点，将极端环境的劣势转化为生态设计的驱动力。通过低影响开发、水资源闭环、离网能源供给与气候适应性建构的有机整合，形成了一套真正意义上的可持续沙漠文旅建筑范式。这不仅实现了酒店的高舒适性与超低能耗运行，也为未来类似极端环境下的建成空间提供了极具推广价值的整合设计思路。</w:t>
      </w:r>
    </w:p>
    <w:p w14:paraId="5E263CD2">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B8561A"/>
    <w:multiLevelType w:val="singleLevel"/>
    <w:tmpl w:val="7AB8561A"/>
    <w:lvl w:ilvl="0" w:tentative="0">
      <w:start w:val="1"/>
      <w:numFmt w:val="chineseCounting"/>
      <w:suff w:val="nothing"/>
      <w:lvlText w:val="%1、"/>
      <w:lvlJc w:val="left"/>
      <w:pPr>
        <w:ind w:left="-42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604B4A"/>
    <w:rsid w:val="6E3B4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1634</Words>
  <Characters>1647</Characters>
  <Lines>0</Lines>
  <Paragraphs>0</Paragraphs>
  <TotalTime>12</TotalTime>
  <ScaleCrop>false</ScaleCrop>
  <LinksUpToDate>false</LinksUpToDate>
  <CharactersWithSpaces>1661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2026-03-28T15:16:00Z</dcterms:created>
  <dc:creator>汤怀杰</dc:creator>
  <cp:lastModifiedBy>。</cp:lastModifiedBy>
  <dcterms:modified xsi:type="dcterms:W3CDTF">2026-03-28T16:52:05Z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eyJoZGlkIjoiZTdiMmQ1NTcwNGMzNmQzOTIwM2JjOGU5Y2MwZDQ2ZmUiLCJ1c2VySWQiOiI2ODg4NjE3MTcifQ==</vt:lpwstr>
  </property>
  <property fmtid="{D5CDD505-2E9C-101B-9397-08002B2CF9AE}" pid="4" name="ICV">
    <vt:lpwstr>E7FE296472E244559F13B69BA5F7AB70_12</vt:lpwstr>
  </property>
</Properties>
</file>