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F0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6"/>
          <w:szCs w:val="36"/>
        </w:rPr>
      </w:pPr>
      <w:bookmarkStart w:id="0" w:name="_GoBack"/>
      <w:r>
        <w:rPr>
          <w:color w:val="000000"/>
          <w:sz w:val="36"/>
          <w:szCs w:val="36"/>
        </w:rPr>
        <w:t>绿野・牧歌项目抗震设计专篇</w:t>
      </w:r>
    </w:p>
    <w:bookmarkEnd w:id="0"/>
    <w:p w14:paraId="35C09C65">
      <w:pPr>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项目名称</w:t>
      </w:r>
      <w:r>
        <w:rPr>
          <w:rFonts w:ascii="宋体" w:hAnsi="宋体" w:eastAsia="宋体" w:cs="宋体"/>
          <w:color w:val="000000"/>
          <w:kern w:val="0"/>
          <w:sz w:val="24"/>
          <w:szCs w:val="24"/>
          <w:lang w:val="en-US" w:eastAsia="zh-CN" w:bidi="ar"/>
        </w:rPr>
        <w:t>：绿野・牧歌 —— 基于双碳背景下一站式文化便民垂直综合楼</w:t>
      </w:r>
    </w:p>
    <w:p w14:paraId="6F47B112">
      <w:pPr>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编制单位</w:t>
      </w:r>
      <w:r>
        <w:rPr>
          <w:rFonts w:ascii="宋体" w:hAnsi="宋体" w:eastAsia="宋体" w:cs="宋体"/>
          <w:color w:val="000000"/>
          <w:kern w:val="0"/>
          <w:sz w:val="24"/>
          <w:szCs w:val="24"/>
          <w:lang w:val="en-US" w:eastAsia="zh-CN" w:bidi="ar"/>
        </w:rPr>
        <w:t>：内蒙古科技大学建筑与艺术设计学院</w:t>
      </w:r>
    </w:p>
    <w:p w14:paraId="197E4CE2">
      <w:pPr>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编制日期</w:t>
      </w:r>
      <w:r>
        <w:rPr>
          <w:rFonts w:ascii="宋体" w:hAnsi="宋体" w:eastAsia="宋体" w:cs="宋体"/>
          <w:color w:val="000000"/>
          <w:kern w:val="0"/>
          <w:sz w:val="24"/>
          <w:szCs w:val="24"/>
          <w:lang w:val="en-US" w:eastAsia="zh-CN" w:bidi="ar"/>
        </w:rPr>
        <w:t>：2026 年 3 月 25 日</w:t>
      </w:r>
    </w:p>
    <w:p w14:paraId="638E446E">
      <w:pPr>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执行规范</w:t>
      </w:r>
      <w:r>
        <w:rPr>
          <w:rFonts w:ascii="宋体" w:hAnsi="宋体" w:eastAsia="宋体" w:cs="宋体"/>
          <w:color w:val="000000"/>
          <w:kern w:val="0"/>
          <w:sz w:val="24"/>
          <w:szCs w:val="24"/>
          <w:lang w:val="en-US" w:eastAsia="zh-CN" w:bidi="ar"/>
        </w:rPr>
        <w:t>：《建筑与市政工程抗震通用规范》GB 55002、《建筑抗震设计规范》GB 50011-2010（2016 版）</w:t>
      </w:r>
    </w:p>
    <w:p w14:paraId="7B517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一、工程概况</w:t>
      </w:r>
    </w:p>
    <w:p w14:paraId="60463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本项目位于内蒙古鄂尔多斯达拉特旗，抗震设防烈度为</w:t>
      </w:r>
      <w:r>
        <w:rPr>
          <w:rStyle w:val="6"/>
          <w:rFonts w:ascii="宋体" w:hAnsi="宋体" w:eastAsia="宋体" w:cs="宋体"/>
          <w:b/>
          <w:bCs/>
          <w:color w:val="000000"/>
          <w:kern w:val="0"/>
          <w:sz w:val="24"/>
          <w:szCs w:val="24"/>
          <w:lang w:val="en-US" w:eastAsia="zh-CN" w:bidi="ar"/>
        </w:rPr>
        <w:t>8 度</w:t>
      </w:r>
      <w:r>
        <w:rPr>
          <w:rFonts w:ascii="宋体" w:hAnsi="宋体" w:eastAsia="宋体" w:cs="宋体"/>
          <w:color w:val="000000"/>
          <w:kern w:val="0"/>
          <w:sz w:val="24"/>
          <w:szCs w:val="24"/>
          <w:lang w:val="en-US" w:eastAsia="zh-CN" w:bidi="ar"/>
        </w:rPr>
        <w:t>，设计基本地震加速度值为</w:t>
      </w:r>
      <w:r>
        <w:rPr>
          <w:rStyle w:val="6"/>
          <w:rFonts w:ascii="宋体" w:hAnsi="宋体" w:eastAsia="宋体" w:cs="宋体"/>
          <w:b/>
          <w:bCs/>
          <w:color w:val="000000"/>
          <w:kern w:val="0"/>
          <w:sz w:val="24"/>
          <w:szCs w:val="24"/>
          <w:lang w:val="en-US" w:eastAsia="zh-CN" w:bidi="ar"/>
        </w:rPr>
        <w:t>0.20g</w:t>
      </w:r>
      <w:r>
        <w:rPr>
          <w:rFonts w:ascii="宋体" w:hAnsi="宋体" w:eastAsia="宋体" w:cs="宋体"/>
          <w:color w:val="000000"/>
          <w:kern w:val="0"/>
          <w:sz w:val="24"/>
          <w:szCs w:val="24"/>
          <w:lang w:val="en-US" w:eastAsia="zh-CN" w:bidi="ar"/>
        </w:rPr>
        <w:t>，设计地震分组为</w:t>
      </w:r>
      <w:r>
        <w:rPr>
          <w:rStyle w:val="6"/>
          <w:rFonts w:ascii="宋体" w:hAnsi="宋体" w:eastAsia="宋体" w:cs="宋体"/>
          <w:b/>
          <w:bCs/>
          <w:color w:val="000000"/>
          <w:kern w:val="0"/>
          <w:sz w:val="24"/>
          <w:szCs w:val="24"/>
          <w:lang w:val="en-US" w:eastAsia="zh-CN" w:bidi="ar"/>
        </w:rPr>
        <w:t>第一组</w:t>
      </w:r>
      <w:r>
        <w:rPr>
          <w:rFonts w:ascii="宋体" w:hAnsi="宋体" w:eastAsia="宋体" w:cs="宋体"/>
          <w:color w:val="000000"/>
          <w:kern w:val="0"/>
          <w:sz w:val="24"/>
          <w:szCs w:val="24"/>
          <w:lang w:val="en-US" w:eastAsia="zh-CN" w:bidi="ar"/>
        </w:rPr>
        <w:t>，场地类别为</w:t>
      </w:r>
      <w:r>
        <w:rPr>
          <w:rStyle w:val="6"/>
          <w:rFonts w:ascii="宋体" w:hAnsi="宋体" w:eastAsia="宋体" w:cs="宋体"/>
          <w:b/>
          <w:bCs/>
          <w:color w:val="000000"/>
          <w:kern w:val="0"/>
          <w:sz w:val="24"/>
          <w:szCs w:val="24"/>
          <w:lang w:val="en-US" w:eastAsia="zh-CN" w:bidi="ar"/>
        </w:rPr>
        <w:t>Ⅱ 类</w:t>
      </w:r>
      <w:r>
        <w:rPr>
          <w:rFonts w:ascii="宋体" w:hAnsi="宋体" w:eastAsia="宋体" w:cs="宋体"/>
          <w:color w:val="000000"/>
          <w:kern w:val="0"/>
          <w:sz w:val="24"/>
          <w:szCs w:val="24"/>
          <w:lang w:val="en-US" w:eastAsia="zh-CN" w:bidi="ar"/>
        </w:rPr>
        <w:t>。建筑为多层公共建筑，采用</w:t>
      </w:r>
      <w:r>
        <w:rPr>
          <w:rStyle w:val="6"/>
          <w:rFonts w:ascii="宋体" w:hAnsi="宋体" w:eastAsia="宋体" w:cs="宋体"/>
          <w:b/>
          <w:bCs/>
          <w:color w:val="000000"/>
          <w:kern w:val="0"/>
          <w:sz w:val="24"/>
          <w:szCs w:val="24"/>
          <w:lang w:val="en-US" w:eastAsia="zh-CN" w:bidi="ar"/>
        </w:rPr>
        <w:t>框架 - 核心筒结构体系</w:t>
      </w:r>
      <w:r>
        <w:rPr>
          <w:rFonts w:ascii="宋体" w:hAnsi="宋体" w:eastAsia="宋体" w:cs="宋体"/>
          <w:color w:val="000000"/>
          <w:kern w:val="0"/>
          <w:sz w:val="24"/>
          <w:szCs w:val="24"/>
          <w:lang w:val="en-US" w:eastAsia="zh-CN" w:bidi="ar"/>
        </w:rPr>
        <w:t>，高度满足规范限值要求。</w:t>
      </w:r>
    </w:p>
    <w:p w14:paraId="18ECD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二、抗震设计目标</w:t>
      </w:r>
    </w:p>
    <w:p w14:paraId="326CF7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rPr>
        <w:t>满足 “小震不坏、中震可修、大震不倒” 的三水准设防目标；</w:t>
      </w:r>
    </w:p>
    <w:p w14:paraId="7969A9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rPr>
        <w:t>结构体系规则、传力清晰，符合严寒地区公共建筑抗震性能要求；</w:t>
      </w:r>
    </w:p>
    <w:p w14:paraId="7D99A91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rPr>
        <w:t>关键构件（核心筒、框架柱）具备足够延性与承载力，保障地震下结构安全。</w:t>
      </w:r>
    </w:p>
    <w:p w14:paraId="71BEE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三、结构体系与抗震措施</w:t>
      </w:r>
    </w:p>
    <w:p w14:paraId="234E09F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6"/>
          <w:b/>
          <w:bCs/>
          <w:color w:val="000000"/>
          <w:sz w:val="24"/>
          <w:szCs w:val="24"/>
        </w:rPr>
        <w:t>结构体系</w:t>
      </w:r>
      <w:r>
        <w:rPr>
          <w:color w:val="000000"/>
          <w:sz w:val="24"/>
          <w:szCs w:val="24"/>
        </w:rPr>
        <w:t>：采用钢筋混凝土框架 - 核心筒体系，核心筒承担主要水平地震作用，框架柱作为二道防线，提高结构冗余度；</w:t>
      </w:r>
    </w:p>
    <w:p w14:paraId="75E34B4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6"/>
          <w:b/>
          <w:bCs/>
          <w:color w:val="000000"/>
          <w:sz w:val="24"/>
          <w:szCs w:val="24"/>
        </w:rPr>
        <w:t>构件设计</w:t>
      </w:r>
      <w:r>
        <w:rPr>
          <w:color w:val="000000"/>
          <w:sz w:val="24"/>
          <w:szCs w:val="24"/>
        </w:rPr>
        <w:t>：框架柱、核心筒墙肢均按规范控制轴压比，配置足够箍筋与约束边缘构件，提升延性；</w:t>
      </w:r>
    </w:p>
    <w:p w14:paraId="14C8C5E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6"/>
          <w:b/>
          <w:bCs/>
          <w:color w:val="000000"/>
          <w:sz w:val="24"/>
          <w:szCs w:val="24"/>
        </w:rPr>
        <w:t>节点构造</w:t>
      </w:r>
      <w:r>
        <w:rPr>
          <w:color w:val="000000"/>
          <w:sz w:val="24"/>
          <w:szCs w:val="24"/>
        </w:rPr>
        <w:t>：梁柱节点、墙梁节点采用刚性连接，满足强节点、弱构件的抗震设计原则；</w:t>
      </w:r>
    </w:p>
    <w:p w14:paraId="5BC6EFB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6"/>
          <w:b/>
          <w:bCs/>
          <w:color w:val="000000"/>
          <w:sz w:val="24"/>
          <w:szCs w:val="24"/>
        </w:rPr>
        <w:t>非结构构件</w:t>
      </w:r>
      <w:r>
        <w:rPr>
          <w:color w:val="000000"/>
          <w:sz w:val="24"/>
          <w:szCs w:val="24"/>
        </w:rPr>
        <w:t>：填充墙、幕墙、设备管线均采用柔性连接，可适应主体结构变形，避免地震下次生破坏。</w:t>
      </w:r>
    </w:p>
    <w:p w14:paraId="1F6D3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四、抗震性能验算</w:t>
      </w:r>
    </w:p>
    <w:p w14:paraId="1BF3CEB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rPr>
        <w:t>采用弹性时程分析与反应谱法进行多遇地震作用下的内力与位移验算，层间位移角满足规范限值（≤1/550）；</w:t>
      </w:r>
    </w:p>
    <w:p w14:paraId="7973177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rPr>
        <w:t>罕遇地震下采用弹塑性分析，验证结构无倒塌风险，关键构件塑性铰发展可控；</w:t>
      </w:r>
    </w:p>
    <w:p w14:paraId="12D9609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rPr>
        <w:t>地基基础按规范进行抗震验算，满足承载力与变形要求，无液化风险。</w:t>
      </w:r>
    </w:p>
    <w:p w14:paraId="1B8DE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五、结论</w:t>
      </w:r>
    </w:p>
    <w:p w14:paraId="31AB8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本项目抗震设计严格遵循现行强制性规范要求，结构体系合理、抗震措施到位，性能验算结果满足 8 度设防目标，符合安全耐久与绿色建筑三星级要求。</w:t>
      </w:r>
    </w:p>
    <w:p w14:paraId="5820866E"/>
    <w:p w14:paraId="17439BA7">
      <w:pPr>
        <w:rPr>
          <w:rFonts w:ascii="宋体" w:hAnsi="宋体" w:eastAsia="宋体" w:cs="宋体"/>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0C65E"/>
    <w:multiLevelType w:val="multilevel"/>
    <w:tmpl w:val="88D0C6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F515F27"/>
    <w:multiLevelType w:val="multilevel"/>
    <w:tmpl w:val="DF515F2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92F8374"/>
    <w:multiLevelType w:val="multilevel"/>
    <w:tmpl w:val="492F837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A19D1"/>
    <w:rsid w:val="373A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2026-03-25T12:14:00Z</dcterms:created>
  <dc:creator>盐焗小星球</dc:creator>
  <cp:lastModifiedBy>盐焗小星球</cp:lastModifiedBy>
  <dcterms:modified xsi:type="dcterms:W3CDTF">2026-03-25T12:15:08Z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C2FE9818054E4C768F2B90DD6F5CF345_11</vt:lpwstr>
  </property>
  <property fmtid="{D5CDD505-2E9C-101B-9397-08002B2CF9AE}" pid="4" name="KSOTemplateDocerSaveRecord">
    <vt:lpwstr>eyJoZGlkIjoiMzhlZjhjMjlkZmJhY2IxYTcxYTc5MjY5ZmJiNmIwZDMiLCJ1c2VySWQiOiIxNDAwMTc5MTY3In0=</vt:lpwstr>
  </property>
</Properties>
</file>