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D88FE">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1F1F1F" w:sz="0" w:space="0"/>
        </w:rPr>
        <w:t>一、环境卫生专业设计说明</w:t>
      </w:r>
      <w:bookmarkStart w:id="0" w:name="_GoBack"/>
      <w:bookmarkEnd w:id="0"/>
    </w:p>
    <w:p w14:paraId="36BF53C0">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青衿·筑境综合展览馆——环境卫生与垃圾分类收集专项设计说明</w:t>
      </w:r>
    </w:p>
    <w:p w14:paraId="7A214DCB">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为践行绿色低碳理念，保障展览馆内外环境卫生，本项目的垃圾收集与处理系统严格按照国家及地方生活垃圾分类标准进行专项设计，确保功能合理且与建筑景观高度融合。</w:t>
      </w:r>
    </w:p>
    <w:p w14:paraId="3487828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1.分类收集标准设置</w:t>
      </w:r>
    </w:p>
    <w:p w14:paraId="320D14FF">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本项目全面实行生活垃圾四分类制度。馆内及室外场地均按“可回收物、有害垃圾、厨余垃圾、其他垃圾”的标准配置相应的收集容器。餐饮休闲区重点强化厨余垃圾的独立收集；展厅及公共区重点配置可回收物与其他垃圾的双拼桶。</w:t>
      </w:r>
    </w:p>
    <w:p w14:paraId="650EB93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2.收集点与容器布置原则</w:t>
      </w:r>
    </w:p>
    <w:p w14:paraId="661534A8">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室内区域：</w:t>
      </w:r>
      <w:r>
        <w:rPr>
          <w:rFonts w:hint="default" w:ascii="sans-serif" w:hAnsi="sans-serif" w:eastAsia="sans-serif" w:cs="sans-serif"/>
          <w:color w:val="1F1F1F"/>
          <w:bdr w:val="none" w:color="auto" w:sz="0" w:space="0"/>
        </w:rPr>
        <w:t>垃圾收集容器主要设置于各层主次通道节点、卫生间前室、电梯厅及休息区。布置位置均避开主要疏散通道和安全出口，不占用疏散净宽。</w:t>
      </w:r>
    </w:p>
    <w:p w14:paraId="70F9917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室外及退台区域：</w:t>
      </w:r>
      <w:r>
        <w:rPr>
          <w:rFonts w:hint="default" w:ascii="sans-serif" w:hAnsi="sans-serif" w:eastAsia="sans-serif" w:cs="sans-serif"/>
          <w:color w:val="1F1F1F"/>
          <w:bdr w:val="none" w:color="auto" w:sz="0" w:space="0"/>
        </w:rPr>
        <w:t>在主次入口广场、室外停车场及各层屋顶花园设置室外分类果皮箱。服务流线（私入线/后勤线）末端隐蔽处设置集中的“生活垃圾分类收集站”，方便市政环卫车辆统一清运，且流线与访客流线完全分离。</w:t>
      </w:r>
    </w:p>
    <w:p w14:paraId="20E04865">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3.与周围景观的协调性设计</w:t>
      </w:r>
    </w:p>
    <w:p w14:paraId="285B5BCC">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材质与色彩呼应：</w:t>
      </w:r>
      <w:r>
        <w:rPr>
          <w:rFonts w:hint="default" w:ascii="sans-serif" w:hAnsi="sans-serif" w:eastAsia="sans-serif" w:cs="sans-serif"/>
          <w:color w:val="1F1F1F"/>
          <w:bdr w:val="none" w:color="auto" w:sz="0" w:space="0"/>
        </w:rPr>
        <w:t>摒弃传统的廉价塑料垃圾桶。室内收集容器采用拉丝不锈钢结合局部深灰色氟碳喷涂，呼应室内的现代钢玻结构；室外及屋顶花园的收集容器外观采用</w:t>
      </w:r>
      <w:r>
        <w:rPr>
          <w:rFonts w:hint="default" w:ascii="sans-serif" w:hAnsi="sans-serif" w:eastAsia="sans-serif" w:cs="sans-serif"/>
          <w:b/>
          <w:bCs/>
          <w:color w:val="1F1F1F"/>
          <w:bdr w:val="none" w:color="1F1F1F" w:sz="0" w:space="0"/>
        </w:rPr>
        <w:t>防腐木饰面或仿石材肌理</w:t>
      </w:r>
      <w:r>
        <w:rPr>
          <w:rFonts w:hint="default" w:ascii="sans-serif" w:hAnsi="sans-serif" w:eastAsia="sans-serif" w:cs="sans-serif"/>
          <w:color w:val="1F1F1F"/>
          <w:bdr w:val="none" w:color="auto" w:sz="0" w:space="0"/>
        </w:rPr>
        <w:t>，与建筑外立面的传统砖木元素及自然山林景观完美相融。</w:t>
      </w:r>
    </w:p>
    <w:p w14:paraId="776F161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隐蔽化与去工业化：</w:t>
      </w:r>
      <w:r>
        <w:rPr>
          <w:rFonts w:hint="default" w:ascii="sans-serif" w:hAnsi="sans-serif" w:eastAsia="sans-serif" w:cs="sans-serif"/>
          <w:color w:val="1F1F1F"/>
          <w:bdr w:val="none" w:color="auto" w:sz="0" w:space="0"/>
        </w:rPr>
        <w:t>集中收集站采用半下沉或绿植围合式设计，外围设置木质格栅进行视觉遮挡，并配有微负压除臭与排风系统，避免视觉与嗅觉污染，确保设施“消隐”于整体建筑景观之中。</w:t>
      </w:r>
    </w:p>
    <w:p w14:paraId="04D7FAB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1F1F1F" w:sz="0" w:space="0"/>
        </w:rPr>
        <w:t>二、垃圾管理制度</w:t>
      </w:r>
    </w:p>
    <w:p w14:paraId="023A2E48">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青衿·筑境综合展览馆——垃圾分类与卫生管理制度</w:t>
      </w:r>
    </w:p>
    <w:p w14:paraId="28F50304">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为确保展览馆垃圾分类设施的有效运行，特制定本管理制度：</w:t>
      </w:r>
    </w:p>
    <w:p w14:paraId="6FCCBDA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1.责任主体与分工</w:t>
      </w:r>
    </w:p>
    <w:p w14:paraId="1F12EBC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展览馆物业管理部门为环境卫生第一责任人。保洁人员负责各楼层及室外垃圾容器的日常巡查、分类指导、清理与集中转运；安保人员协助监督游客的不文明投放行为。</w:t>
      </w:r>
    </w:p>
    <w:p w14:paraId="311BB31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2.分类投放与清运规范</w:t>
      </w:r>
    </w:p>
    <w:p w14:paraId="42BA9165">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日产日清：</w:t>
      </w:r>
      <w:r>
        <w:rPr>
          <w:rFonts w:hint="default" w:ascii="sans-serif" w:hAnsi="sans-serif" w:eastAsia="sans-serif" w:cs="sans-serif"/>
          <w:color w:val="1F1F1F"/>
          <w:bdr w:val="none" w:color="auto" w:sz="0" w:space="0"/>
        </w:rPr>
        <w:t>馆内所有垃圾收集容器必须做到每日闭馆后全面清空，严禁垃圾过夜存放导致异味滋生。</w:t>
      </w:r>
    </w:p>
    <w:p w14:paraId="2494ED77">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错峰清运：</w:t>
      </w:r>
      <w:r>
        <w:rPr>
          <w:rFonts w:hint="default" w:ascii="sans-serif" w:hAnsi="sans-serif" w:eastAsia="sans-serif" w:cs="sans-serif"/>
          <w:color w:val="1F1F1F"/>
          <w:bdr w:val="none" w:color="auto" w:sz="0" w:space="0"/>
        </w:rPr>
        <w:t>内部垃圾驳运应避开展览馆客流高峰期（通常安排在早晨开馆前或傍晚闭馆后）。驳运路线严格按照图纸设计的“后勤服务线”执行。</w:t>
      </w:r>
    </w:p>
    <w:p w14:paraId="19F2EB0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专业处理：</w:t>
      </w:r>
      <w:r>
        <w:rPr>
          <w:rFonts w:hint="default" w:ascii="sans-serif" w:hAnsi="sans-serif" w:eastAsia="sans-serif" w:cs="sans-serif"/>
          <w:color w:val="1F1F1F"/>
          <w:bdr w:val="none" w:color="auto" w:sz="0" w:space="0"/>
        </w:rPr>
        <w:t>可回收物定期交由再生资源企业回收；有害垃圾必须妥善暂存并交由具备相关资质的危废处理单位清运；厨余垃圾与其他垃圾由市政环卫部门对接日清。</w:t>
      </w:r>
    </w:p>
    <w:p w14:paraId="26652DEC">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3.设施维护与保洁要求</w:t>
      </w:r>
    </w:p>
    <w:p w14:paraId="4C2918E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保洁人员需每日对分类垃圾桶、收集站的内外壁进行擦拭与消毒，确保标识清晰、外观整洁。如发现容器破损、分类标识脱落，需在24小时内报修更换。</w:t>
      </w:r>
    </w:p>
    <w:p w14:paraId="5B5B5A8A">
      <w:pPr>
        <w:keepNext w:val="0"/>
        <w:keepLines w:val="0"/>
        <w:widowControl/>
        <w:numPr>
          <w:ilvl w:val="1"/>
          <w:numId w:val="1"/>
        </w:numPr>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hanging="360"/>
        <w:rPr>
          <w:rFonts w:hint="default" w:ascii="sans-serif" w:hAnsi="sans-serif" w:eastAsia="sans-serif" w:cs="sans-serif"/>
          <w:color w:val="1F1F1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DAAC1"/>
    <w:multiLevelType w:val="multilevel"/>
    <w:tmpl w:val="A2FDAA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64BC2"/>
    <w:rsid w:val="0366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2026-03-26T13:02:00Z</dcterms:created>
  <dc:creator>holnap ξ～更好</dc:creator>
  <cp:lastModifiedBy>holnap ξ～更好</cp:lastModifiedBy>
  <dcterms:modified xsi:type="dcterms:W3CDTF">2026-03-26T13:03:19Z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9F01BB1CDB3F481C98931DBDEC999002_11</vt:lpwstr>
  </property>
  <property fmtid="{D5CDD505-2E9C-101B-9397-08002B2CF9AE}" pid="4" name="KSOTemplateDocerSaveRecord">
    <vt:lpwstr>eyJoZGlkIjoiOWQ3ZjQ5ODllNzc5ZmQyYWVkNzk2OTBjNzc2YjE5N2YiLCJ1c2VySWQiOiI4MDU3MzY5MTIifQ==</vt:lpwstr>
  </property>
</Properties>
</file>