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4E71CC">
      <w:pPr>
        <w:pStyle w:val="2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bookmarkStart w:id="0" w:name="_GoBack"/>
      <w:bookmarkEnd w:id="0"/>
      <w:r>
        <w:rPr>
          <w:rFonts w:hint="default" w:ascii="sans-serif" w:hAnsi="sans-serif" w:eastAsia="sans-serif" w:cs="sans-serif"/>
          <w:color w:val="1F1F1F"/>
          <w:bdr w:val="none" w:color="1F1F1F" w:sz="0" w:space="0"/>
        </w:rPr>
        <w:t>建筑外门窗及幕墙抗风压与水密性能专项设计说明</w:t>
      </w:r>
    </w:p>
    <w:p w14:paraId="2F712998">
      <w:pPr>
        <w:pStyle w:val="3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b/>
          <w:bCs/>
          <w:color w:val="1F1F1F"/>
          <w:bdr w:val="none" w:color="1F1F1F" w:sz="0" w:space="0"/>
        </w:rPr>
        <w:t>一、建筑门窗（幕墙）设计文件提资要点</w:t>
      </w:r>
    </w:p>
    <w:p w14:paraId="51612EB7">
      <w:pPr>
        <w:pStyle w:val="3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color w:val="1F1F1F"/>
          <w:bdr w:val="none" w:color="auto" w:sz="0" w:space="0"/>
        </w:rPr>
        <w:t>结合本项目的特殊形态与生态技术，外围护结构的风压与水密设计重点如下：</w:t>
      </w:r>
    </w:p>
    <w:p w14:paraId="6E7A55D5">
      <w:pPr>
        <w:pStyle w:val="3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b/>
          <w:bCs/>
          <w:color w:val="1F1F1F"/>
          <w:bdr w:val="none" w:color="1F1F1F" w:sz="0" w:space="0"/>
        </w:rPr>
        <w:t>大面积幕墙与玻璃穹顶：</w:t>
      </w:r>
      <w:r>
        <w:rPr>
          <w:rFonts w:hint="default" w:ascii="sans-serif" w:hAnsi="sans-serif" w:eastAsia="sans-serif" w:cs="sans-serif"/>
          <w:color w:val="1F1F1F"/>
          <w:bdr w:val="none" w:color="auto" w:sz="0" w:space="0"/>
        </w:rPr>
        <w:t>建筑东、南立面设有大面积通透玻璃幕墙，顶部设有半球形玻璃穹顶。结合气象数据与风环境分析（CFD），设计明确了各朝向幕墙及穹顶的风荷载标准值。幕墙及外门窗的</w:t>
      </w:r>
      <w:r>
        <w:rPr>
          <w:rFonts w:hint="default" w:ascii="sans-serif" w:hAnsi="sans-serif" w:eastAsia="sans-serif" w:cs="sans-serif"/>
          <w:b/>
          <w:bCs/>
          <w:color w:val="1F1F1F"/>
          <w:bdr w:val="none" w:color="1F1F1F" w:sz="0" w:space="0"/>
        </w:rPr>
        <w:t>抗风压性能等级</w:t>
      </w:r>
      <w:r>
        <w:rPr>
          <w:rFonts w:hint="default" w:ascii="sans-serif" w:hAnsi="sans-serif" w:eastAsia="sans-serif" w:cs="sans-serif"/>
          <w:color w:val="1F1F1F"/>
          <w:bdr w:val="none" w:color="auto" w:sz="0" w:space="0"/>
        </w:rPr>
        <w:t>和</w:t>
      </w:r>
      <w:r>
        <w:rPr>
          <w:rFonts w:hint="default" w:ascii="sans-serif" w:hAnsi="sans-serif" w:eastAsia="sans-serif" w:cs="sans-serif"/>
          <w:b/>
          <w:bCs/>
          <w:color w:val="1F1F1F"/>
          <w:bdr w:val="none" w:color="1F1F1F" w:sz="0" w:space="0"/>
        </w:rPr>
        <w:t>水密性能等级</w:t>
      </w:r>
      <w:r>
        <w:rPr>
          <w:rFonts w:hint="default" w:ascii="sans-serif" w:hAnsi="sans-serif" w:eastAsia="sans-serif" w:cs="sans-serif"/>
          <w:color w:val="1F1F1F"/>
          <w:bdr w:val="none" w:color="auto" w:sz="0" w:space="0"/>
        </w:rPr>
        <w:t>严格按照《建筑幕墙》及《建筑外门窗气密、水密、抗风压性能分级及检测方法》的当地最高要求进行定级。</w:t>
      </w:r>
    </w:p>
    <w:p w14:paraId="508B47FA">
      <w:pPr>
        <w:pStyle w:val="3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b/>
          <w:bCs/>
          <w:color w:val="1F1F1F"/>
          <w:bdr w:val="none" w:color="1F1F1F" w:sz="0" w:space="0"/>
        </w:rPr>
        <w:t>蓄热墙系统（Trombe Wall）的特殊要求：</w:t>
      </w:r>
      <w:r>
        <w:rPr>
          <w:rFonts w:hint="default" w:ascii="sans-serif" w:hAnsi="sans-serif" w:eastAsia="sans-serif" w:cs="sans-serif"/>
          <w:color w:val="1F1F1F"/>
          <w:bdr w:val="none" w:color="auto" w:sz="0" w:space="0"/>
        </w:rPr>
        <w:t>建筑局部采用的蓄热墙系统外部覆盖有玻璃盖板。设计文件详细规定了该玻璃盖板与主体墙面交接处的防水构造节点，确保空气腔的绝对水密性；同时对外部开启窗洞的风压锁紧装置进行了专项设计，防止大风天气下的结构震颤和雨水倒灌。</w:t>
      </w:r>
    </w:p>
    <w:p w14:paraId="3B667B5B">
      <w:pPr>
        <w:pStyle w:val="3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b/>
          <w:bCs/>
          <w:color w:val="1F1F1F"/>
          <w:bdr w:val="none" w:color="1F1F1F" w:sz="0" w:space="0"/>
        </w:rPr>
        <w:t>退台交接处防水：</w:t>
      </w:r>
      <w:r>
        <w:rPr>
          <w:rFonts w:hint="default" w:ascii="sans-serif" w:hAnsi="sans-serif" w:eastAsia="sans-serif" w:cs="sans-serif"/>
          <w:color w:val="1F1F1F"/>
          <w:bdr w:val="none" w:color="auto" w:sz="0" w:space="0"/>
        </w:rPr>
        <w:t>针对多层退台与外门窗交接的复杂根部节点，设计图纸中已深化防倒灌反坎及多道密封节点大样。</w:t>
      </w:r>
    </w:p>
    <w:p w14:paraId="3BD21E40">
      <w:pPr>
        <w:pStyle w:val="3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b/>
          <w:bCs/>
          <w:color w:val="1F1F1F"/>
          <w:bdr w:val="none" w:color="1F1F1F" w:sz="0" w:space="0"/>
        </w:rPr>
        <w:t>二、外门窗及幕墙施工工法说明文件要求</w:t>
      </w:r>
    </w:p>
    <w:p w14:paraId="505E158D">
      <w:pPr>
        <w:pStyle w:val="3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color w:val="1F1F1F"/>
          <w:bdr w:val="none" w:color="auto" w:sz="0" w:space="0"/>
        </w:rPr>
        <w:t>为确保“安装牢固”与“性能达标”，施工工法需重点明确以下内容：</w:t>
      </w:r>
    </w:p>
    <w:p w14:paraId="324809AC">
      <w:pPr>
        <w:pStyle w:val="3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b/>
          <w:bCs/>
          <w:color w:val="1F1F1F"/>
          <w:bdr w:val="none" w:color="1F1F1F" w:sz="0" w:space="0"/>
        </w:rPr>
        <w:t>主体连接牢固度：</w:t>
      </w:r>
      <w:r>
        <w:rPr>
          <w:rFonts w:hint="default" w:ascii="sans-serif" w:hAnsi="sans-serif" w:eastAsia="sans-serif" w:cs="sans-serif"/>
          <w:color w:val="1F1F1F"/>
          <w:bdr w:val="none" w:color="auto" w:sz="0" w:space="0"/>
        </w:rPr>
        <w:t>玻璃穹顶的钢结构骨架、立面玻璃幕墙的立柱与横梁，必须通过预埋件或高强化学锚栓与建筑主体混凝土/钢结构进行刚性连接。严禁在未经加固的轻质砌块墙上直接固定大型门窗受力构件。</w:t>
      </w:r>
    </w:p>
    <w:p w14:paraId="3F2A3F55">
      <w:pPr>
        <w:pStyle w:val="3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b/>
          <w:bCs/>
          <w:color w:val="1F1F1F"/>
          <w:bdr w:val="none" w:color="1F1F1F" w:sz="0" w:space="0"/>
        </w:rPr>
        <w:t>外挂格栅的独立受力：</w:t>
      </w:r>
      <w:r>
        <w:rPr>
          <w:rFonts w:hint="default" w:ascii="sans-serif" w:hAnsi="sans-serif" w:eastAsia="sans-serif" w:cs="sans-serif"/>
          <w:color w:val="1F1F1F"/>
          <w:bdr w:val="none" w:color="auto" w:sz="0" w:space="0"/>
        </w:rPr>
        <w:t>立面外挂的木质/金属遮阳格栅需采用独立的龙骨系统与主体结构连接，避免其承受的风荷载直接传递给玻璃幕墙的主受力构件，进而影响门窗的水密性。</w:t>
      </w:r>
    </w:p>
    <w:p w14:paraId="2E279A1E">
      <w:pPr>
        <w:pStyle w:val="3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b/>
          <w:bCs/>
          <w:color w:val="1F1F1F"/>
          <w:bdr w:val="none" w:color="1F1F1F" w:sz="0" w:space="0"/>
        </w:rPr>
        <w:t>多道密封工艺：</w:t>
      </w:r>
      <w:r>
        <w:rPr>
          <w:rFonts w:hint="default" w:ascii="sans-serif" w:hAnsi="sans-serif" w:eastAsia="sans-serif" w:cs="sans-serif"/>
          <w:color w:val="1F1F1F"/>
          <w:bdr w:val="none" w:color="auto" w:sz="0" w:space="0"/>
        </w:rPr>
        <w:t>门窗框与墙体之间的缝隙必须采用发泡聚氨酯等弹性材料填嵌饱满，并在室外侧施打耐候硅酮密封胶，确保连续、无断点，形成完整的水密防线。</w:t>
      </w:r>
    </w:p>
    <w:p w14:paraId="53A5827A">
      <w:pPr>
        <w:pStyle w:val="3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b/>
          <w:bCs/>
          <w:color w:val="1F1F1F"/>
          <w:bdr w:val="none" w:color="1F1F1F" w:sz="0" w:space="0"/>
        </w:rPr>
        <w:t>三、门窗水密、抗风压性能检测报告要求</w:t>
      </w:r>
    </w:p>
    <w:p w14:paraId="02471B76">
      <w:pPr>
        <w:pStyle w:val="3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b/>
          <w:bCs/>
          <w:color w:val="1F1F1F"/>
          <w:bdr w:val="none" w:color="1F1F1F" w:sz="0" w:space="0"/>
        </w:rPr>
        <w:t>材料进场复验：</w:t>
      </w:r>
      <w:r>
        <w:rPr>
          <w:rFonts w:hint="default" w:ascii="sans-serif" w:hAnsi="sans-serif" w:eastAsia="sans-serif" w:cs="sans-serif"/>
          <w:color w:val="1F1F1F"/>
          <w:bdr w:val="none" w:color="auto" w:sz="0" w:space="0"/>
        </w:rPr>
        <w:t>所有进场的外门窗及幕墙型材、玻璃、密封胶均需提供出厂合格证及型式检验报告。</w:t>
      </w:r>
    </w:p>
    <w:p w14:paraId="10833F90">
      <w:pPr>
        <w:pStyle w:val="3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b/>
          <w:bCs/>
          <w:color w:val="1F1F1F"/>
          <w:bdr w:val="none" w:color="1F1F1F" w:sz="0" w:space="0"/>
        </w:rPr>
        <w:t>实体检测（Mock-up）：</w:t>
      </w:r>
      <w:r>
        <w:rPr>
          <w:rFonts w:hint="default" w:ascii="sans-serif" w:hAnsi="sans-serif" w:eastAsia="sans-serif" w:cs="sans-serif"/>
          <w:color w:val="1F1F1F"/>
          <w:bdr w:val="none" w:color="auto" w:sz="0" w:space="0"/>
        </w:rPr>
        <w:t>针对本项目的玻璃穹顶和蓄热墙外挂玻璃系统，施工前应进行幕墙物理性能的“四性试验”（含抗风压、水密性能），由第三方权威检测机构出具检测报告，合格后方可大面积施工。并在施工完成后，按规范比例进行现场淋水试验。</w:t>
      </w:r>
    </w:p>
    <w:p w14:paraId="1368A3AB">
      <w:pPr>
        <w:pStyle w:val="3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b/>
          <w:bCs/>
          <w:color w:val="1F1F1F"/>
          <w:bdr w:val="none" w:color="1F1F1F" w:sz="0" w:space="0"/>
        </w:rPr>
        <w:t>四、门窗维修与管理记录指南</w:t>
      </w:r>
    </w:p>
    <w:p w14:paraId="6C5D03AF">
      <w:pPr>
        <w:pStyle w:val="3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b/>
          <w:bCs/>
          <w:color w:val="1F1F1F"/>
          <w:bdr w:val="none" w:color="1F1F1F" w:sz="0" w:space="0"/>
        </w:rPr>
        <w:t>穹顶与高空幕墙维保：</w:t>
      </w:r>
      <w:r>
        <w:rPr>
          <w:rFonts w:hint="default" w:ascii="sans-serif" w:hAnsi="sans-serif" w:eastAsia="sans-serif" w:cs="sans-serif"/>
          <w:color w:val="1F1F1F"/>
          <w:bdr w:val="none" w:color="auto" w:sz="0" w:space="0"/>
        </w:rPr>
        <w:t>针对屋顶穹顶及高层幕墙，项目需预留专门的清洗及维修马道或擦窗机（吊篮）锚固点。</w:t>
      </w:r>
    </w:p>
    <w:p w14:paraId="54543A8E">
      <w:pPr>
        <w:pStyle w:val="3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b/>
          <w:bCs/>
          <w:color w:val="1F1F1F"/>
          <w:bdr w:val="none" w:color="1F1F1F" w:sz="0" w:space="0"/>
        </w:rPr>
        <w:t>定期巡检制度：</w:t>
      </w:r>
      <w:r>
        <w:rPr>
          <w:rFonts w:hint="default" w:ascii="sans-serif" w:hAnsi="sans-serif" w:eastAsia="sans-serif" w:cs="sans-serif"/>
          <w:color w:val="1F1F1F"/>
          <w:bdr w:val="none" w:color="auto" w:sz="0" w:space="0"/>
        </w:rPr>
        <w:t>建立建筑外门窗及生态设施（如蓄热墙外围护玻璃）的季度/年度巡检台账。重点检查开启扇五金件的牢固度、穹顶接缝处硅酮耐候胶有无老化开裂，以及大风暴雨后的水密性能评估记录。</w:t>
      </w:r>
    </w:p>
    <w:p w14:paraId="4C8CB852">
      <w:pPr>
        <w:pStyle w:val="3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160" w:afterAutospacing="0" w:line="12" w:lineRule="atLeast"/>
        <w:ind w:left="0" w:right="0"/>
        <w:rPr>
          <w:rFonts w:hint="default" w:ascii="sans-serif" w:hAnsi="sans-serif" w:eastAsia="sans-serif" w:cs="sans-serif"/>
          <w:color w:val="1F1F1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ans-serif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A3411F"/>
    <w:rsid w:val="5FA34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2026-03-26T12:24:00Z</dcterms:created>
  <dc:creator>holnap ξ～更好</dc:creator>
  <cp:lastModifiedBy>holnap ξ～更好</cp:lastModifiedBy>
  <dcterms:modified xsi:type="dcterms:W3CDTF">2026-03-26T12:25:15Z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D8A3B84FD0204E8E87B0607BF6B6D82B_11</vt:lpwstr>
  </property>
  <property fmtid="{D5CDD505-2E9C-101B-9397-08002B2CF9AE}" pid="4" name="KSOTemplateDocerSaveRecord">
    <vt:lpwstr>eyJoZGlkIjoiOWQ3ZjQ5ODllNzc5ZmQyYWVkNzk2OTBjNzc2YjE5N2YiLCJ1c2VySWQiOiI4MDU3MzY5MTIifQ==</vt:lpwstr>
  </property>
</Properties>
</file>