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D595B">
      <w:pPr>
        <w:pStyle w:val="2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1F1F1F" w:sz="0" w:space="0"/>
        </w:rPr>
        <w:t>4.1.6卫生间及潮湿房间防水防潮专项说明</w:t>
      </w:r>
    </w:p>
    <w:p w14:paraId="2FAC9AD0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针对“青衿·筑境”综合展览馆内的公共卫生间、无障碍卫生间及保洁盥洗室，本项目严格执行国家及行业防水防潮标准，具体措施及材料要求说明如下：</w:t>
      </w:r>
    </w:p>
    <w:p w14:paraId="08C52AF2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1F1F1F" w:sz="0" w:space="0"/>
        </w:rPr>
        <w:t>一、相关设计图和防水、防潮措施及技术参数要求说明</w:t>
      </w:r>
    </w:p>
    <w:p w14:paraId="1E0B1124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1.地面防水设计措施与参数：</w:t>
      </w:r>
    </w:p>
    <w:p w14:paraId="7334B5D3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防水层设置：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所有公共卫生间及潮湿房间地面均设置独立的柔性防水层。采用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1.5mm厚聚氨酯防水涂料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或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JS聚合物水泥防水涂料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。</w:t>
      </w:r>
    </w:p>
    <w:p w14:paraId="372A8362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上翻构造：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墙面四周防水层沿墙体上翻，高出完成面不小于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300mm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；对于洗手台背面及保洁池（拖把池）区域，防水层上翻高度不小于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1200mm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。</w:t>
      </w:r>
    </w:p>
    <w:p w14:paraId="4BF1EAB9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节点附加层：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地漏、大便器、下水管道穿过楼板的根部，以及阴阳角交接处，必须先做防水附加层（宽度不小于250mm），并嵌填密封材料，确保无渗漏隐患。</w:t>
      </w:r>
    </w:p>
    <w:p w14:paraId="033831DE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找坡与排水：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地面需进行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1%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的结构找坡，坡向地漏，确保地面无积水。</w:t>
      </w:r>
    </w:p>
    <w:p w14:paraId="5C8F7F82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2.墙面防潮/防水设计措施：</w:t>
      </w:r>
    </w:p>
    <w:p w14:paraId="3648247D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墙面防潮基层：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卫生间墙面采用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防水砂浆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进行找平处理。</w:t>
      </w:r>
    </w:p>
    <w:p w14:paraId="5A1565FE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饰面层：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满贴低吸水率的防滑、防潮瓷砖。瓷砖勾缝采用具有防霉、防水性能的环氧彩砂或专用填缝剂，阻断水汽渗入墙体内部。</w:t>
      </w:r>
    </w:p>
    <w:p w14:paraId="78B17585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3.顶棚防潮设计措施：</w:t>
      </w:r>
    </w:p>
    <w:p w14:paraId="13B21560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吊顶材料：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卫生间顶棚统一采用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微孔铝扣板吊顶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或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防潮型纸面石膏板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（配合防潮耐水腻子及防霉乳胶漆）。</w:t>
      </w:r>
    </w:p>
    <w:p w14:paraId="34F9B1EA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基层处理：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吊顶上方的结构楼板底面及管道表面，需喷涂一层防结露、防潮涂料，防止冷凝水滴落。</w:t>
      </w:r>
    </w:p>
    <w:p w14:paraId="5E320C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808080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排风除湿：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结合暖通设计，卫生间顶部配备高效机械排风系统，保持空间负压，加速水汽排出，从根本上解决防潮问题。</w:t>
      </w:r>
      <w:bookmarkStart w:id="0" w:name="_GoBack"/>
      <w:bookmarkEnd w:id="0"/>
    </w:p>
    <w:p w14:paraId="0992BC8F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1F1F1F" w:sz="0" w:space="0"/>
        </w:rPr>
        <w:t>二、防水、防潮相关材料的决算清单</w:t>
      </w:r>
    </w:p>
    <w:tbl>
      <w:tblPr>
        <w:tblW w:w="0" w:type="auto"/>
        <w:tblCellSpacing w:w="15" w:type="dxa"/>
        <w:tblInd w:w="10" w:type="dxa"/>
        <w:tblBorders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2206"/>
        <w:gridCol w:w="1556"/>
        <w:gridCol w:w="619"/>
        <w:gridCol w:w="862"/>
        <w:gridCol w:w="1770"/>
      </w:tblGrid>
      <w:tr w14:paraId="548B20AA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418C3FC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Style w:val="7"/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40FE769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Style w:val="7"/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规格型号及技术要求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15793B4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Style w:val="7"/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使用部位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0A3111C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Style w:val="7"/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690D31B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Style w:val="7"/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数量(示例)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</w:tcMar>
            <w:vAlign w:val="center"/>
          </w:tcPr>
          <w:p w14:paraId="7441BAC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Style w:val="7"/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备注(环保与双碳要求)</w:t>
            </w:r>
          </w:p>
        </w:tc>
      </w:tr>
      <w:tr w14:paraId="6FF97559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5CAD115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单组分聚氨酯防水涂料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778FB0F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厚度≥1.5毫米，拉伸强度≥1.9MPa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1290E5C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卫生间地面及局部墙面上翻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0EE2A96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747713F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</w:tcMar>
            <w:vAlign w:val="center"/>
          </w:tcPr>
          <w:p w14:paraId="62C62ED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需满足十环认证，低VOC排放</w:t>
            </w:r>
          </w:p>
        </w:tc>
      </w:tr>
      <w:tr w14:paraId="05186C98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7D92992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聚合物防水砂浆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7AAFE9C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抗渗等级≥P6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48D283A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卫生间墙面找平层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4DB11D0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立方米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081EFBA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</w:tcMar>
            <w:vAlign w:val="center"/>
          </w:tcPr>
          <w:p w14:paraId="10FEAE1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绿色建材，无毒无害</w:t>
            </w:r>
          </w:p>
        </w:tc>
      </w:tr>
      <w:tr w14:paraId="41648AD1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1CBC84C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防潮型纸面石膏板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39308B4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厚度12mm，吸水率≤5%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07EB68B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卫生间/盥洗室顶棚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2BC81A5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009C88D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</w:tcMar>
            <w:vAlign w:val="center"/>
          </w:tcPr>
          <w:p w14:paraId="43875DD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龙骨需做防锈防腐处理</w:t>
            </w:r>
          </w:p>
        </w:tc>
      </w:tr>
      <w:tr w14:paraId="0B57A002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11AD8CF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微孔铝扣板吊顶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4C752A7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600×600毫米，厚度0.8毫米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693FEDA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核心区公共卫生间顶棚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2A36E9E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2D61D17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</w:tcMar>
            <w:vAlign w:val="center"/>
          </w:tcPr>
          <w:p w14:paraId="0D1FDF0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表面经防潮防腐滚涂处理</w:t>
            </w:r>
          </w:p>
        </w:tc>
      </w:tr>
      <w:tr w14:paraId="3984E694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56947EE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防霉柔性密封胶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3FA6591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中性硅酮，防霉等级0级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17096AD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洁具与墙地面交接缝隙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3495308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2013547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</w:tcMar>
            <w:vAlign w:val="center"/>
          </w:tcPr>
          <w:p w14:paraId="676F94B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耐候性强，长效防霉</w:t>
            </w:r>
          </w:p>
        </w:tc>
      </w:tr>
    </w:tbl>
    <w:p w14:paraId="777B749B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1F1F1F" w:sz="0" w:space="0"/>
        </w:rPr>
        <w:t>三、防水、防潮相关材料的产品说明书或检测报告</w:t>
      </w:r>
    </w:p>
    <w:p w14:paraId="0C1E3864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为满足审查的闭环要求，此项需要材料供应商或总包单位配合提供以下电子版扫描件（PDF格式）并打包上传：</w:t>
      </w:r>
    </w:p>
    <w:p w14:paraId="7842C5F6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产品合格证与说明书：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决算清单中提及的所有防水涂料、防潮石膏板、防霉胶的出厂说明书。</w:t>
      </w:r>
    </w:p>
    <w:p w14:paraId="00924E54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第三方物理性能检测报告：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重点提供防水涂料的“不透水性”、“拉伸强度”、“断裂伸长率”检测报告，以及石膏板的“吸水率”测试报告。</w:t>
      </w:r>
    </w:p>
    <w:p w14:paraId="294465B2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环保检测报告（呼应绿建目标）：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本项目为绿色建筑设计，所用防水防潮材料必须提供有害物质限量检测报告（如VOC、游离甲醛释放量检测），证明其不对室内空气质量造成污染。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F1306"/>
    <w:rsid w:val="7ED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2026-03-26T12:27:00Z</dcterms:created>
  <dc:creator>holnap ξ～更好</dc:creator>
  <cp:lastModifiedBy>holnap ξ～更好</cp:lastModifiedBy>
  <dcterms:modified xsi:type="dcterms:W3CDTF">2026-03-26T12:29:09Z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24BED8F6675D4DBE8DE14706DCB15E50_11</vt:lpwstr>
  </property>
  <property fmtid="{D5CDD505-2E9C-101B-9397-08002B2CF9AE}" pid="4" name="KSOTemplateDocerSaveRecord">
    <vt:lpwstr>eyJoZGlkIjoiOWQ3ZjQ5ODllNzc5ZmQyYWVkNzk2OTBjNzc2YjE5N2YiLCJ1c2VySWQiOiI4MDU3MzY5MTIifQ==</vt:lpwstr>
  </property>
</Properties>
</file>