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C9AE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汉中市留坝老街展览馆装修设计图纸及设计说明</w:t>
      </w:r>
    </w:p>
    <w:p w14:paraId="162118FD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一、工程概况</w:t>
      </w:r>
    </w:p>
    <w:p w14:paraId="7BF1C1F0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本项目为</w:t>
      </w:r>
      <w:r>
        <w:rPr>
          <w:rFonts w:ascii="宋体" w:hAnsi="宋体" w:eastAsia="宋体" w:cs="宋体"/>
          <w:b/>
          <w:bCs/>
          <w:kern w:val="0"/>
          <w:sz w:val="20"/>
          <w:szCs w:val="20"/>
          <w:lang w:val="en-US" w:eastAsia="zh-CN" w:bidi="ar"/>
        </w:rPr>
        <w:t>汉中市留坝老街新建展览馆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，选址留坝老街核心区，紧邻北栈河、背靠太平山，地处秦巴山地低山丘陵河谷地带。建筑以 “秦巴文化传承 + 现代展陈功能” 为核心，外观延续陕南明清民居青砖灰瓦、木构坡屋顶的地域风貌，内部打造适配文物展品展示、人流集中疏导、文化体验互动的现代化展览馆空间。装修遵循 “风貌协调、安全耐久、功能适配、生态环保” 原则，兼顾地域文化表达、展陈功能需求、消防疏散安全及山区气候适应性。</w:t>
      </w:r>
    </w:p>
    <w:p w14:paraId="246C5128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二、设计依据</w:t>
      </w:r>
    </w:p>
    <w:p w14:paraId="6C481D75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1.《建筑内部装修设计防火规范》GB 50222-2017</w:t>
      </w:r>
    </w:p>
    <w:p w14:paraId="70BAB452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2.《民用建筑设计统一标准》GB 50352-2019</w:t>
      </w:r>
    </w:p>
    <w:p w14:paraId="60F82745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3.《历史文化名城保护规划标准》GB 50357-2018</w:t>
      </w:r>
    </w:p>
    <w:p w14:paraId="7619086C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4.《博物馆建筑设计规范》JGJ 66-2015</w:t>
      </w:r>
    </w:p>
    <w:p w14:paraId="797EEB71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5.《建筑结构可靠性设计统一标准》GB 50068-2018</w:t>
      </w:r>
    </w:p>
    <w:p w14:paraId="6EDB4534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6. 汉中市留坝老街区域岩土勘察报告、场地气候数据及文旅规划要求</w:t>
      </w:r>
    </w:p>
    <w:p w14:paraId="1C6F70EE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三、总体装修设计原则</w:t>
      </w:r>
    </w:p>
    <w:p w14:paraId="48C4169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b/>
          <w:bCs/>
          <w:sz w:val="16"/>
          <w:szCs w:val="20"/>
          <w:bdr w:val="none" w:color="auto" w:sz="0" w:space="0"/>
        </w:rPr>
        <w:t>地域融合原则</w:t>
      </w:r>
      <w:r>
        <w:rPr>
          <w:sz w:val="16"/>
          <w:szCs w:val="20"/>
          <w:bdr w:val="none" w:color="auto" w:sz="0" w:space="0"/>
        </w:rPr>
        <w:t>：外观呼应老街明清风貌，内部融入秦巴山地元素（木构肌理、石材质感、乡土色彩），避免现代风格与历史街区脱节，实现 “建筑即展品” 的设计理念。</w:t>
      </w:r>
    </w:p>
    <w:p w14:paraId="410AB9B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b/>
          <w:bCs/>
          <w:sz w:val="16"/>
          <w:szCs w:val="20"/>
          <w:bdr w:val="none" w:color="auto" w:sz="0" w:space="0"/>
        </w:rPr>
        <w:t>功能适配原则</w:t>
      </w:r>
      <w:r>
        <w:rPr>
          <w:sz w:val="16"/>
          <w:szCs w:val="20"/>
          <w:bdr w:val="none" w:color="auto" w:sz="0" w:space="0"/>
        </w:rPr>
        <w:t>：以展陈为核心，划分常设展厅、临时展厅、互动体验区、文物库房、接待区、办公区等功能空间，满足展品陈列、人流集散、文物保护（温湿度控制、防紫外线、防盗）等专业需求。</w:t>
      </w:r>
    </w:p>
    <w:p w14:paraId="26FD94F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b/>
          <w:bCs/>
          <w:sz w:val="16"/>
          <w:szCs w:val="20"/>
          <w:bdr w:val="none" w:color="auto" w:sz="0" w:space="0"/>
        </w:rPr>
        <w:t>安全优先原则</w:t>
      </w:r>
      <w:r>
        <w:rPr>
          <w:sz w:val="16"/>
          <w:szCs w:val="20"/>
          <w:bdr w:val="none" w:color="auto" w:sz="0" w:space="0"/>
        </w:rPr>
        <w:t>：严格执行防火分级标准，疏散通道畅通无阻，承重结构达标，防护标识清晰，适配展览馆集中人流的应急疏散要求。</w:t>
      </w:r>
    </w:p>
    <w:p w14:paraId="54FD75A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b/>
          <w:bCs/>
          <w:sz w:val="16"/>
          <w:szCs w:val="20"/>
          <w:bdr w:val="none" w:color="auto" w:sz="0" w:space="0"/>
        </w:rPr>
        <w:t>耐久适配原则</w:t>
      </w:r>
      <w:r>
        <w:rPr>
          <w:sz w:val="16"/>
          <w:szCs w:val="20"/>
          <w:bdr w:val="none" w:color="auto" w:sz="0" w:space="0"/>
        </w:rPr>
        <w:t>：针对留坝多雨潮湿、冬冷夏凉的气候特征，强化防潮、保温、防腐、防渗漏设计，延长装修使用寿命。</w:t>
      </w:r>
    </w:p>
    <w:p w14:paraId="6B6F15C9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四、各空间装修构造说明</w:t>
      </w:r>
    </w:p>
    <w:p w14:paraId="7EA0096D">
      <w:pPr>
        <w:pStyle w:val="4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1. 外立面装修</w:t>
      </w:r>
    </w:p>
    <w:p w14:paraId="3B2743A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主体墙面：采用仿明清青砖饰面（页岩烧结砖，规格 240×115×53mm），灰缝采用传统麻刀灰勾缝，局部点缀木构格栅（本地松木，防腐处理），呼应老街风貌。</w:t>
      </w:r>
    </w:p>
    <w:p w14:paraId="0C03CBD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外门窗：采用 “仿古木框 + Low-E 中空玻璃” 复合构造，外框为深棕色防腐木，玻璃选用双层中空夹胶玻璃（6Low-E+12Ar+6），兼顾气密性（8 级）、水密性（6 级）、抗风压性（6 级），适配山区气候。</w:t>
      </w:r>
    </w:p>
    <w:p w14:paraId="741A67D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入口造型：主入口采用仿古石拱门设计（青石板砌筑），搭配木质格栅门，门前设置青石板踏步，强化地域标识性。</w:t>
      </w:r>
    </w:p>
    <w:p w14:paraId="57550A39">
      <w:pPr>
        <w:pStyle w:val="4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2. 屋面装修</w:t>
      </w:r>
    </w:p>
    <w:p w14:paraId="188F569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屋面形式：双坡歇山顶，铺设仿古小青瓦（陶土烧制，规格 200×180mm），屋脊采用传统脊瓦装饰，檐口设置木质封檐板。</w:t>
      </w:r>
    </w:p>
    <w:p w14:paraId="31CF81C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构造层次：自上而下依次为小青瓦屋面、顺水条 + 挂瓦条、防水卷材（SBS 改性沥青，厚度 4mm）、保温层（挤塑聚苯板 XPS，厚度 50mm）、钢筋混凝土屋面板，满足保温、防水、抗风要求。</w:t>
      </w:r>
    </w:p>
    <w:p w14:paraId="05BEDCEE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附属设施：屋顶设置光伏组件（与屋面一体化设计，预留检修通道）、仿古雨水管（PVC 材质，仿木色喷涂），排水坡度≥3%，确保排水顺畅。</w:t>
      </w:r>
    </w:p>
    <w:p w14:paraId="78E0F449">
      <w:pPr>
        <w:pStyle w:val="4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3. 公共通行与疏散空间（走廊、展厅通道）</w:t>
      </w:r>
    </w:p>
    <w:p w14:paraId="744CE78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地面：采用青石板地面（厚度 50mm），表面防滑处理（摩擦系数≥0.6），通道宽度：主疏散通道≥2.4m，展厅内通道≥1.8m，无突兀高差，局部需过渡处设置缓坡（坡度≤1:12）。</w:t>
      </w:r>
    </w:p>
    <w:p w14:paraId="01F57F6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墙面：采用浅灰色仿石涂料（耐擦洗、防潮型），下部设置 1.2m 高木质护墙板（防腐松木），避免人流碰撞损坏墙面。</w:t>
      </w:r>
    </w:p>
    <w:p w14:paraId="264CAA6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顶棚：采用轻钢龙骨 + 防潮石膏板吊顶，局部裸露木格栅（喷涂防火涂料），管线隐藏于吊顶内，净高≥2.8m，确保通行顺畅。</w:t>
      </w:r>
    </w:p>
    <w:p w14:paraId="11BB7EA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标识系统：沿通道连续设置蓄光型疏散指示标志（间距≤10m）、应急照明灯（照度≥5lx），搭配仿古木质标识牌，清晰标注疏散方向、安全出口、展厅分区。</w:t>
      </w:r>
    </w:p>
    <w:p w14:paraId="14B019FB">
      <w:pPr>
        <w:pStyle w:val="4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4. 展厅空间</w:t>
      </w:r>
    </w:p>
    <w:p w14:paraId="12E1A2E4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地面：常设展厅采用灰色哑光地砖（600×600mm，防滑耐磨，抗压强度≥50MPa），便于展品搬运与日常清洁；临时展厅采用可移动地台（钢结构 + 木地板），灵活适配不同展陈需求。</w:t>
      </w:r>
    </w:p>
    <w:p w14:paraId="50704D5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墙面：采用浅灰色防火板（燃烧性能 A 级），表面平整光滑，便于悬挂展品；局部墙面采用木质装饰板（防腐松木），营造温馨氛围，墙面预留展品挂钩预埋件（承重≥50kg / 点）。</w:t>
      </w:r>
    </w:p>
    <w:p w14:paraId="120C66D6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顶棚：采用 “裸顶 + 局部吊顶” 设计，裸顶喷涂深灰色防火涂料，管线规整排布，局部设置格栅吊顶（木质 + 金属），隐藏照明灯具（防眩光射灯，色温 3000K，防紫外线），满足展陈照明需求。</w:t>
      </w:r>
    </w:p>
    <w:p w14:paraId="3BDF66D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温湿度控制：墙面、顶棚内敷设保温隔热层，配套中央空调系统，确保展厅内温湿度稳定（温度 18-24℃，湿度 50%-60%），保护文物展品。</w:t>
      </w:r>
    </w:p>
    <w:p w14:paraId="648017A9">
      <w:pPr>
        <w:pStyle w:val="4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5. 卫生间、辅助用房</w:t>
      </w:r>
    </w:p>
    <w:p w14:paraId="79FE41C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卫生间：地面采用防滑地砖（300×300mm），墙面采用防水瓷砖（300×600mm），防水构造：地面 + 墙面 1.8m 高聚氨酯防水涂料（两道，总厚度≥1.5mm），阴阳角做圆弧处理，设置沉箱式同层排水，地漏采用防臭型，确保无渗漏、无异味。</w:t>
      </w:r>
    </w:p>
    <w:p w14:paraId="0D31CC53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文物库房：地面采用防静电地板（架空高度 300mm），墙面、顶棚采用防火防潮板材（燃烧性能 A 级），设置独立的温湿度控制系统与防盗报警系统，门窗采用防盗防火设计。</w:t>
      </w:r>
    </w:p>
    <w:p w14:paraId="4C062B1D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接待区：地面采用实木地板（防腐松木），墙面采用浅棕色木质装饰板，顶棚采用木质格栅吊顶，搭配仿古灯具，营造舒适接待氛围。</w:t>
      </w:r>
    </w:p>
    <w:p w14:paraId="78DF7043">
      <w:pPr>
        <w:pStyle w:val="4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6. 门窗及围护装修</w:t>
      </w:r>
    </w:p>
    <w:p w14:paraId="6F8DA2F7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内门：展厅门采用木质防火门（甲级，耐火极限≥1.5h），办公区、辅助用房采用木质门（防腐处理），疏散门均为向外开启的平开门，宽度≥1.4m，配备推杆式门锁。</w:t>
      </w:r>
    </w:p>
    <w:p w14:paraId="1AA29EA2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隔断：展厅与通道之间采用玻璃隔断（钢化夹胶玻璃），兼顾通透感与安全性；办公区采用木质隔断（局部玻璃通透），保障私密性。</w:t>
      </w:r>
    </w:p>
    <w:p w14:paraId="604A4411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五、安全防护与标识系统装修配套</w:t>
      </w:r>
    </w:p>
    <w:p w14:paraId="0296978E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安全警示标识：消防设施（消火栓、灭火器）、电气设备区、临边区域设置高警示色彩标识（红 + 黄），采用仿古木质边框，隐蔽安装，标注 “消防设施严禁占用”“注意用电安全” 等文字。</w:t>
      </w:r>
    </w:p>
    <w:p w14:paraId="44341665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疏散引导标识：沿疏散通道、安全出口、楼梯间设置蓄光型标识，文字高度≥15cm，持续发光时间≥90min，导向清晰无断点。</w:t>
      </w:r>
    </w:p>
    <w:p w14:paraId="611D98C5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展陈警示标识：展厅内设置 “禁止触摸”“禁止闪光灯”“请勿喧哗” 等标识，采用小型木质牌，与展陈环境协调。</w:t>
      </w:r>
    </w:p>
    <w:p w14:paraId="46D0543F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六、防火、防潮、防腐专项措施</w:t>
      </w:r>
    </w:p>
    <w:p w14:paraId="2C7B241D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防火：所有装修主材（地砖、涂料、板材、门窗）燃烧性能均达到 A 级或 B1 级，木结构构件（木格栅、护墙板、门窗）涂刷防火涂料（耐火极限≥0.5h），展厅内设置自动灭火系统与烟感报警系统。</w:t>
      </w:r>
    </w:p>
    <w:p w14:paraId="5D06F384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防潮：地面、墙面基层设置防潮层（聚乙烯薄膜，厚度 0.3mm），卫生间、库房等区域强化防水设计，室内配备排风除湿系统，控制空气湿度。</w:t>
      </w:r>
    </w:p>
    <w:p w14:paraId="57431206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防腐：所有金属连接件（螺栓、龙骨、挂钩）采用不锈钢材质，木构件涂刷桐油 + 防腐涂料（3 遍），避免潮湿环境下锈蚀、腐朽。</w:t>
      </w:r>
    </w:p>
    <w:p w14:paraId="0C5FA13A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七、图纸目录（配套装修施工图）</w:t>
      </w:r>
    </w:p>
    <w:p w14:paraId="3A8DD95D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装修总平面布局图</w:t>
      </w:r>
    </w:p>
    <w:p w14:paraId="38F2D744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各楼层平面装修布置图</w:t>
      </w:r>
    </w:p>
    <w:p w14:paraId="15D5F766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外立面装修施工图（含门窗大样）</w:t>
      </w:r>
    </w:p>
    <w:p w14:paraId="4B097CF6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屋面装修及防水保温构造图</w:t>
      </w:r>
    </w:p>
    <w:p w14:paraId="58C316D0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展厅、走廊、卫生间等空间装修大样图</w:t>
      </w:r>
    </w:p>
    <w:p w14:paraId="175654B5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墙面、地面、顶棚通用装修做法图</w:t>
      </w:r>
    </w:p>
    <w:p w14:paraId="094317C6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防火、防潮、防腐节点详图</w:t>
      </w:r>
    </w:p>
    <w:p w14:paraId="2A605559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疏散通道与标识定位布置图</w:t>
      </w:r>
    </w:p>
    <w:p w14:paraId="401A4C9E">
      <w:pPr>
        <w:keepNext w:val="0"/>
        <w:keepLines w:val="0"/>
        <w:widowControl/>
        <w:numPr>
          <w:ilvl w:val="0"/>
          <w:numId w:val="3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6"/>
          <w:szCs w:val="20"/>
        </w:rPr>
      </w:pPr>
      <w:r>
        <w:rPr>
          <w:sz w:val="16"/>
          <w:szCs w:val="20"/>
          <w:bdr w:val="none" w:color="auto" w:sz="0" w:space="0"/>
        </w:rPr>
        <w:t>展陈区域装修及预埋件布置图</w:t>
      </w:r>
    </w:p>
    <w:p w14:paraId="066AA59E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八、整体结论</w:t>
      </w:r>
    </w:p>
    <w:p w14:paraId="077A5A7E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本次留坝老街展览馆装修设计，既延续了历史街区的明清地域风貌，又充分满足现代化展览馆的展陈功能、安全防护与文物保护需求。装修构造适配留坝山区气候特征，材料选用环保耐久的乡土材质与现代建材结合，施工工艺兼顾传统技法与规范要求，整体实现 “文化性、功能性、安全性、耐久性” 的统一，符合相关规范及项目定位。</w:t>
      </w:r>
    </w:p>
    <w:p w14:paraId="575C57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0AC15"/>
    <w:multiLevelType w:val="multilevel"/>
    <w:tmpl w:val="85E0AC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94FE434"/>
    <w:multiLevelType w:val="multilevel"/>
    <w:tmpl w:val="894FE4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FDEFF9A"/>
    <w:multiLevelType w:val="multilevel"/>
    <w:tmpl w:val="8FDEFF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5610003"/>
    <w:multiLevelType w:val="multilevel"/>
    <w:tmpl w:val="956100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9CF9BFC"/>
    <w:multiLevelType w:val="multilevel"/>
    <w:tmpl w:val="99CF9B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D61A183"/>
    <w:multiLevelType w:val="multilevel"/>
    <w:tmpl w:val="9D61A1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A472192F"/>
    <w:multiLevelType w:val="multilevel"/>
    <w:tmpl w:val="A47219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7AD857F"/>
    <w:multiLevelType w:val="multilevel"/>
    <w:tmpl w:val="A7AD85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88C0D70"/>
    <w:multiLevelType w:val="multilevel"/>
    <w:tmpl w:val="A88C0D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ABD8F5A1"/>
    <w:multiLevelType w:val="multilevel"/>
    <w:tmpl w:val="ABD8F5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B64EA197"/>
    <w:multiLevelType w:val="multilevel"/>
    <w:tmpl w:val="B64EA1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C33FACD1"/>
    <w:multiLevelType w:val="multilevel"/>
    <w:tmpl w:val="C33FAC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D24600AC"/>
    <w:multiLevelType w:val="multilevel"/>
    <w:tmpl w:val="D24600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D5147895"/>
    <w:multiLevelType w:val="multilevel"/>
    <w:tmpl w:val="D51478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DDB9F2D2"/>
    <w:multiLevelType w:val="multilevel"/>
    <w:tmpl w:val="DDB9F2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E97D8283"/>
    <w:multiLevelType w:val="multilevel"/>
    <w:tmpl w:val="E97D82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EA5C372B"/>
    <w:multiLevelType w:val="multilevel"/>
    <w:tmpl w:val="EA5C37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EBC3EA81"/>
    <w:multiLevelType w:val="multilevel"/>
    <w:tmpl w:val="EBC3EA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ED8B923C"/>
    <w:multiLevelType w:val="multilevel"/>
    <w:tmpl w:val="ED8B92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F27EAAFF"/>
    <w:multiLevelType w:val="multilevel"/>
    <w:tmpl w:val="F27EAA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F5AF485F"/>
    <w:multiLevelType w:val="multilevel"/>
    <w:tmpl w:val="F5AF48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F7A277A9"/>
    <w:multiLevelType w:val="multilevel"/>
    <w:tmpl w:val="F7A277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05B4666F"/>
    <w:multiLevelType w:val="multilevel"/>
    <w:tmpl w:val="05B466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06E47B72"/>
    <w:multiLevelType w:val="multilevel"/>
    <w:tmpl w:val="06E47B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0AC2D264"/>
    <w:multiLevelType w:val="multilevel"/>
    <w:tmpl w:val="0AC2D2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0FD575FD"/>
    <w:multiLevelType w:val="multilevel"/>
    <w:tmpl w:val="0FD575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>
    <w:nsid w:val="1E753795"/>
    <w:multiLevelType w:val="multilevel"/>
    <w:tmpl w:val="1E7537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233BA53F"/>
    <w:multiLevelType w:val="multilevel"/>
    <w:tmpl w:val="233BA5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2A6F782E"/>
    <w:multiLevelType w:val="multilevel"/>
    <w:tmpl w:val="2A6F78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2B93477F"/>
    <w:multiLevelType w:val="multilevel"/>
    <w:tmpl w:val="2B9347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2BF9AF7F"/>
    <w:multiLevelType w:val="multilevel"/>
    <w:tmpl w:val="2BF9AF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317CEE4B"/>
    <w:multiLevelType w:val="multilevel"/>
    <w:tmpl w:val="317CEE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558C2962"/>
    <w:multiLevelType w:val="multilevel"/>
    <w:tmpl w:val="558C296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3">
    <w:nsid w:val="558C85DC"/>
    <w:multiLevelType w:val="multilevel"/>
    <w:tmpl w:val="558C85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4">
    <w:nsid w:val="5D7FAF5F"/>
    <w:multiLevelType w:val="multilevel"/>
    <w:tmpl w:val="5D7FAF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662D91C1"/>
    <w:multiLevelType w:val="multilevel"/>
    <w:tmpl w:val="662D91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72F95DCE"/>
    <w:multiLevelType w:val="multilevel"/>
    <w:tmpl w:val="72F95D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77C77786"/>
    <w:multiLevelType w:val="multilevel"/>
    <w:tmpl w:val="77C777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13"/>
  </w:num>
  <w:num w:numId="5">
    <w:abstractNumId w:val="35"/>
  </w:num>
  <w:num w:numId="6">
    <w:abstractNumId w:val="16"/>
  </w:num>
  <w:num w:numId="7">
    <w:abstractNumId w:val="2"/>
  </w:num>
  <w:num w:numId="8">
    <w:abstractNumId w:val="36"/>
  </w:num>
  <w:num w:numId="9">
    <w:abstractNumId w:val="14"/>
  </w:num>
  <w:num w:numId="10">
    <w:abstractNumId w:val="24"/>
  </w:num>
  <w:num w:numId="11">
    <w:abstractNumId w:val="28"/>
  </w:num>
  <w:num w:numId="12">
    <w:abstractNumId w:val="3"/>
  </w:num>
  <w:num w:numId="13">
    <w:abstractNumId w:val="1"/>
  </w:num>
  <w:num w:numId="14">
    <w:abstractNumId w:val="11"/>
  </w:num>
  <w:num w:numId="15">
    <w:abstractNumId w:val="6"/>
  </w:num>
  <w:num w:numId="16">
    <w:abstractNumId w:val="10"/>
  </w:num>
  <w:num w:numId="17">
    <w:abstractNumId w:val="31"/>
  </w:num>
  <w:num w:numId="18">
    <w:abstractNumId w:val="7"/>
  </w:num>
  <w:num w:numId="19">
    <w:abstractNumId w:val="34"/>
  </w:num>
  <w:num w:numId="20">
    <w:abstractNumId w:val="8"/>
  </w:num>
  <w:num w:numId="21">
    <w:abstractNumId w:val="0"/>
  </w:num>
  <w:num w:numId="22">
    <w:abstractNumId w:val="4"/>
  </w:num>
  <w:num w:numId="23">
    <w:abstractNumId w:val="19"/>
  </w:num>
  <w:num w:numId="24">
    <w:abstractNumId w:val="29"/>
  </w:num>
  <w:num w:numId="25">
    <w:abstractNumId w:val="15"/>
  </w:num>
  <w:num w:numId="26">
    <w:abstractNumId w:val="37"/>
  </w:num>
  <w:num w:numId="27">
    <w:abstractNumId w:val="23"/>
  </w:num>
  <w:num w:numId="28">
    <w:abstractNumId w:val="25"/>
  </w:num>
  <w:num w:numId="29">
    <w:abstractNumId w:val="18"/>
  </w:num>
  <w:num w:numId="30">
    <w:abstractNumId w:val="17"/>
  </w:num>
  <w:num w:numId="31">
    <w:abstractNumId w:val="21"/>
  </w:num>
  <w:num w:numId="32">
    <w:abstractNumId w:val="30"/>
  </w:num>
  <w:num w:numId="33">
    <w:abstractNumId w:val="26"/>
  </w:num>
  <w:num w:numId="34">
    <w:abstractNumId w:val="20"/>
  </w:num>
  <w:num w:numId="35">
    <w:abstractNumId w:val="33"/>
  </w:num>
  <w:num w:numId="36">
    <w:abstractNumId w:val="32"/>
  </w:num>
  <w:num w:numId="37">
    <w:abstractNumId w:val="2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46BB4"/>
    <w:rsid w:val="2244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2026-03-27T09:20:00Z</dcterms:created>
  <dc:creator>holnap ξ～更好</dc:creator>
  <cp:lastModifiedBy>holnap ξ～更好</cp:lastModifiedBy>
  <dcterms:modified xsi:type="dcterms:W3CDTF">2026-03-27T09:21:07Z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D27768897DF9438F8B05E8E51BEDE4D5_11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