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EA45E">
      <w:pPr>
        <w:pStyle w:val="2"/>
        <w:keepNext w:val="0"/>
        <w:keepLines w:val="0"/>
        <w:widowControl/>
        <w:suppressLineNumbers w:val="0"/>
      </w:pPr>
      <w:r>
        <w:t>汉中市留坝老街标识系统设计与设置说明文件</w:t>
      </w:r>
      <w:bookmarkStart w:id="0" w:name="_GoBack"/>
      <w:bookmarkEnd w:id="0"/>
    </w:p>
    <w:p w14:paraId="36F0123D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一、设计总则</w:t>
      </w:r>
    </w:p>
    <w:p w14:paraId="2284B05B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1. 设计依据</w:t>
      </w:r>
    </w:p>
    <w:p w14:paraId="62E8352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本标识系统设计严格遵循《城市道路和建筑物无障碍设计规范》（GB 50763-2012）、《标志用公共信息图形符号》（GB/T 10001）、《历史文化街区保护规划规范》（GB 50357-2005）及留坝老街保护修缮工程总体规划要求，兼顾文化展示、功能指引与安全疏散需求。</w:t>
      </w:r>
    </w:p>
    <w:p w14:paraId="6592B3A8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2. 设计原则</w:t>
      </w:r>
    </w:p>
    <w:p w14:paraId="3412992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文化适配原则：融合秦巴山地明清建筑风格，采用木质、石材等乡土材质，字体选用仿宋体、楷体等传统书法字体，色彩以深棕、浅灰、赭石等大地色系为主，与老街青砖黛瓦、木构门窗的风貌统一。</w:t>
      </w:r>
    </w:p>
    <w:p w14:paraId="29FA05A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功能优先原则：以 “清晰、直观、便捷” 为核心，优先保障疏散导向、安全警示、设施指引等核心功能，确保不同人群快速识别信息。</w:t>
      </w:r>
    </w:p>
    <w:p w14:paraId="588A485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无障碍兼容原则：配套盲文标识、语音提示、高对比度色彩标识，满足老年人、残疾人等特殊群体使用需求。</w:t>
      </w:r>
    </w:p>
    <w:p w14:paraId="62A24C6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生态协调原则：标识设置避免破坏历史建筑本体与景观环境，采用嵌入式、悬挂式等轻量化安装方式，减少对场地的扰动。</w:t>
      </w:r>
    </w:p>
    <w:p w14:paraId="034EC76C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二、标识系统分类与设置要求</w:t>
      </w:r>
    </w:p>
    <w:p w14:paraId="6EC0B2B9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1. 疏散导向标识</w:t>
      </w:r>
    </w:p>
    <w:p w14:paraId="3D4408B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设置位置：沿走廊、疏散通道两侧墙面、地面，安全出口上方，楼梯间转角处；间距≤10m，转角处加密设置，最远房间门至安全出口路径全程无标识断点。</w:t>
      </w:r>
    </w:p>
    <w:p w14:paraId="3D52E8F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设计要求：采用蓄光型自发光材料，文字高度≥15cm，亮度≥1cd/㎡，持续发光时间≥90min；标识牌尺寸 30cm×40cm，木质边框 + 亚克力面板，底部距地面 0.3m 安装，避免遮挡。</w:t>
      </w:r>
    </w:p>
    <w:p w14:paraId="44FB7E1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核心信息：明确标注 “安全出口”“疏散方向”“距离安全出口 XX 米”，搭配奔跑人形、箭头等标准图形符号，无歧义引导紧急疏散。</w:t>
      </w:r>
    </w:p>
    <w:p w14:paraId="67198C55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2. 功能指引标识</w:t>
      </w:r>
    </w:p>
    <w:p w14:paraId="5B2AEED2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分类设置：</w:t>
      </w:r>
    </w:p>
    <w:p w14:paraId="53E140A0"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6" w:lineRule="atLeast"/>
        <w:ind w:left="24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设施指引：卫生间、母婴室、急救站、消防设施、无障碍通道等，设置于设施入口旁及主要通道交叉口，标识牌带二维码，扫码可获取详细位置导航。</w:t>
      </w:r>
    </w:p>
    <w:p w14:paraId="7421096F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6" w:lineRule="atLeast"/>
        <w:ind w:left="24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街巷指引：主街入口、支路交叉口设置街区总平面图标识，标注当前位置、主要景点、服务设施分布，图幅比例 1:500，材质为石材雕刻 + UV 打印。</w:t>
      </w:r>
    </w:p>
    <w:p w14:paraId="3278500C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6" w:lineRule="atLeast"/>
        <w:ind w:left="24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服务指引：民宿、商铺、文创馆等经营场所标识，采用悬挂式木质牌匾，尺寸与建筑门窗比例协调，避免过度商业化装饰。</w:t>
      </w:r>
    </w:p>
    <w:p w14:paraId="184D63ED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安装要求：设施指引标识距地面 1.8m 安装，总平面图标识设置于开阔场地入口处，高度≥2.5m，确保视线无遮挡。</w:t>
      </w:r>
    </w:p>
    <w:p w14:paraId="606545A0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3. 安全警示标识</w:t>
      </w:r>
    </w:p>
    <w:p w14:paraId="1E4178BD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设置位置：消防栓、灭火器等消防设施旁，电气设备区域，边坡防护区，临空栏杆处，地下室入口等危险区域。</w:t>
      </w:r>
    </w:p>
    <w:p w14:paraId="20DA7A4F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设计要求：采用红、黄等高警示色彩，搭配三角形警示边框，文字简洁醒目（如 “禁止吸烟”“注意坠物”“消防设施严禁占用”）；标识牌材质为防火阻燃亚克力，防水防潮处理，适应户外环境。</w:t>
      </w:r>
    </w:p>
    <w:p w14:paraId="0E38A97F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4. 文化解说标识</w:t>
      </w:r>
    </w:p>
    <w:p w14:paraId="0C1FECCA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设置位置：历史建筑墙角、街巷节点、古树名木旁，采用嵌入式石材碑刻、木质展牌形式。</w:t>
      </w:r>
    </w:p>
    <w:p w14:paraId="5D920739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设计要求：内容包含建筑年代、历史沿革、民俗文化等信息，文字简洁凝练（≤150 字），搭配老照片、线描图辅助说明；展牌尺寸根据场地空间调整，避免遮挡建筑立面关键特征。</w:t>
      </w:r>
    </w:p>
    <w:p w14:paraId="00D3EAC4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三、技术与安装规范</w:t>
      </w:r>
    </w:p>
    <w:p w14:paraId="68F7E21C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1. 材质与工艺</w:t>
      </w:r>
    </w:p>
    <w:p w14:paraId="5734D1DA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主体材质：优先选用本地松木、青石板、夯土等乡土材料，表面做防腐、防潮、防虫处理（松木刷桐油 3 遍，石材做防污密封）。</w:t>
      </w:r>
    </w:p>
    <w:p w14:paraId="54973892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工艺要求：文字采用雕刻、烫印等传统工艺，避免喷绘等临时工艺；金属连接件选用不锈钢材质，做防锈处理，隐蔽式安装，不外露破坏美观。</w:t>
      </w:r>
    </w:p>
    <w:p w14:paraId="6D7B7091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2. 安装方式</w:t>
      </w:r>
    </w:p>
    <w:p w14:paraId="5D386119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墙面安装：采用膨胀螺栓 + 防腐木垫片固定，垫片厚度≥1cm，避免螺栓直接接触墙体导致开裂；历史建筑墙面优先采用悬挂式或吸附式安装，不打孔破坏青砖、木构。</w:t>
      </w:r>
    </w:p>
    <w:p w14:paraId="1E70F262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地面安装：疏散导向地面标识采用防滑耐磨瓷砖烧制，嵌入式安装，与地面平齐，无高差绊脚风险。</w:t>
      </w:r>
    </w:p>
    <w:p w14:paraId="5EE35498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高空安装：悬挂式标识采用不锈钢吊链，承重≥50kg，吊点固定于建筑结构梁或专用预埋件，避免固定在木构檩条、门窗框等易损部位。</w:t>
      </w:r>
    </w:p>
    <w:p w14:paraId="1C5E5F80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3. 维护要求</w:t>
      </w:r>
    </w:p>
    <w:p w14:paraId="63EDDC38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标识表面定期清洁（每月 1 次），去除灰尘、油污，木质标识每半年补刷 1 遍防腐油，蓄光标识每年检测发光性能，不合格及时更换。</w:t>
      </w:r>
    </w:p>
    <w:p w14:paraId="2A518F48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禁止擅自移动、遮挡、损坏标识，经营户不得在标识旁张贴广告、悬挂杂物，确保标识清晰可见。</w:t>
      </w:r>
    </w:p>
    <w:p w14:paraId="16E4111A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四、合规性与运维保障</w:t>
      </w:r>
    </w:p>
    <w:p w14:paraId="6C58C7AB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1. 合规性验证</w:t>
      </w:r>
    </w:p>
    <w:p w14:paraId="30E59CE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本标识系统的设置间距、信息清晰度、无障碍适配等指标均符合国家相关规范，疏散导向标识经消防专项检测，满足紧急疏散识别要求；文化解说标识经文物部门审核，未涉及历史建筑本体改动，符合历史文化街区保护要求。</w:t>
      </w:r>
    </w:p>
    <w:p w14:paraId="55AF3ADF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2. 运维机制</w:t>
      </w:r>
    </w:p>
    <w:p w14:paraId="0E76CC2E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建立 “日常巡查 + 定期维护” 制度，由街区管理委员会负责标识系统的巡检、维修与更新，每月提交维护记录。</w:t>
      </w:r>
    </w:p>
    <w:p w14:paraId="75879E07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预留标识备用件，针对破损、老化、信息变更的标识，24 小时内响应更换，确保系统持续有效。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BE105"/>
    <w:multiLevelType w:val="multilevel"/>
    <w:tmpl w:val="833BE1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2E69D1A"/>
    <w:multiLevelType w:val="multilevel"/>
    <w:tmpl w:val="A2E69D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A7383F0C"/>
    <w:multiLevelType w:val="multilevel"/>
    <w:tmpl w:val="A7383F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A73DC0A0"/>
    <w:multiLevelType w:val="multilevel"/>
    <w:tmpl w:val="A73DC0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A7FF0BB8"/>
    <w:multiLevelType w:val="multilevel"/>
    <w:tmpl w:val="A7FF0B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B19A3957"/>
    <w:multiLevelType w:val="multilevel"/>
    <w:tmpl w:val="B19A39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CC518883"/>
    <w:multiLevelType w:val="multilevel"/>
    <w:tmpl w:val="CC5188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CE65293E"/>
    <w:multiLevelType w:val="multilevel"/>
    <w:tmpl w:val="CE6529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DF219108"/>
    <w:multiLevelType w:val="multilevel"/>
    <w:tmpl w:val="DF2191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F376BF25"/>
    <w:multiLevelType w:val="multilevel"/>
    <w:tmpl w:val="F376BF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F7584B38"/>
    <w:multiLevelType w:val="multilevel"/>
    <w:tmpl w:val="F7584B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FBC08212"/>
    <w:multiLevelType w:val="multilevel"/>
    <w:tmpl w:val="FBC082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0351F726"/>
    <w:multiLevelType w:val="multilevel"/>
    <w:tmpl w:val="0351F7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161B3A4F"/>
    <w:multiLevelType w:val="multilevel"/>
    <w:tmpl w:val="161B3A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252F8CAA"/>
    <w:multiLevelType w:val="multilevel"/>
    <w:tmpl w:val="252F8C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3873F07C"/>
    <w:multiLevelType w:val="multilevel"/>
    <w:tmpl w:val="3873F0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44BB10CB"/>
    <w:multiLevelType w:val="multilevel"/>
    <w:tmpl w:val="44BB10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4AA2AFE9"/>
    <w:multiLevelType w:val="multilevel"/>
    <w:tmpl w:val="4AA2AF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5B60A3B7"/>
    <w:multiLevelType w:val="multilevel"/>
    <w:tmpl w:val="5B60A3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665D5706"/>
    <w:multiLevelType w:val="multilevel"/>
    <w:tmpl w:val="665D57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6C09F0A1"/>
    <w:multiLevelType w:val="multilevel"/>
    <w:tmpl w:val="6C09F0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70B3A5F2"/>
    <w:multiLevelType w:val="multilevel"/>
    <w:tmpl w:val="70B3A5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0"/>
  </w:num>
  <w:num w:numId="5">
    <w:abstractNumId w:val="11"/>
  </w:num>
  <w:num w:numId="6">
    <w:abstractNumId w:val="5"/>
  </w:num>
  <w:num w:numId="7">
    <w:abstractNumId w:val="16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4"/>
  </w:num>
  <w:num w:numId="15">
    <w:abstractNumId w:val="15"/>
  </w:num>
  <w:num w:numId="16">
    <w:abstractNumId w:val="1"/>
  </w:num>
  <w:num w:numId="17">
    <w:abstractNumId w:val="8"/>
  </w:num>
  <w:num w:numId="18">
    <w:abstractNumId w:val="3"/>
  </w:num>
  <w:num w:numId="19">
    <w:abstractNumId w:val="13"/>
  </w:num>
  <w:num w:numId="20">
    <w:abstractNumId w:val="2"/>
  </w:num>
  <w:num w:numId="21">
    <w:abstractNumId w:val="18"/>
  </w:num>
  <w:num w:numId="22">
    <w:abstractNumId w:val="9"/>
  </w:num>
  <w:num w:numId="23">
    <w:abstractNumId w:val="17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115C7"/>
    <w:rsid w:val="7C01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2026-03-27T09:13:00Z</dcterms:created>
  <dc:creator>holnap ξ～更好</dc:creator>
  <cp:lastModifiedBy>holnap ξ～更好</cp:lastModifiedBy>
  <dcterms:modified xsi:type="dcterms:W3CDTF">2026-03-27T09:15:51Z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ABBDAC2E369C4E8FB6F1219C14A6BD97_11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