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B49D8">
      <w:pPr>
        <w:rPr>
          <w:rFonts w:ascii="Times New Roman" w:hAnsi="Times New Roman" w:eastAsia="Times New Roman" w:cs="Times New Roman"/>
          <w:sz w:val="20"/>
          <w:szCs w:val="20"/>
        </w:rPr>
      </w:pPr>
    </w:p>
    <w:p w14:paraId="1857366A">
      <w:pPr>
        <w:rPr>
          <w:rFonts w:ascii="Times New Roman" w:hAnsi="Times New Roman" w:eastAsia="Times New Roman" w:cs="Times New Roman"/>
          <w:sz w:val="20"/>
          <w:szCs w:val="20"/>
        </w:rPr>
      </w:pPr>
    </w:p>
    <w:p w14:paraId="47AE98AA">
      <w:pPr>
        <w:rPr>
          <w:rFonts w:ascii="Times New Roman" w:hAnsi="Times New Roman" w:eastAsia="Times New Roman" w:cs="Times New Roman"/>
          <w:sz w:val="20"/>
          <w:szCs w:val="20"/>
        </w:rPr>
      </w:pPr>
    </w:p>
    <w:p w14:paraId="325FCED0">
      <w:pPr>
        <w:rPr>
          <w:rFonts w:ascii="Times New Roman" w:hAnsi="Times New Roman" w:eastAsia="Times New Roman" w:cs="Times New Roman"/>
          <w:sz w:val="20"/>
          <w:szCs w:val="20"/>
        </w:rPr>
      </w:pPr>
    </w:p>
    <w:p w14:paraId="3EB9DCFD">
      <w:pPr>
        <w:rPr>
          <w:rFonts w:ascii="Times New Roman" w:hAnsi="Times New Roman" w:eastAsia="Times New Roman" w:cs="Times New Roman"/>
          <w:sz w:val="20"/>
          <w:szCs w:val="20"/>
        </w:rPr>
      </w:pPr>
    </w:p>
    <w:p w14:paraId="7FEE275C">
      <w:pPr>
        <w:rPr>
          <w:rFonts w:ascii="Times New Roman" w:hAnsi="Times New Roman" w:eastAsia="Times New Roman" w:cs="Times New Roman"/>
          <w:sz w:val="20"/>
          <w:szCs w:val="20"/>
        </w:rPr>
      </w:pPr>
    </w:p>
    <w:p w14:paraId="109BEAE5">
      <w:pPr>
        <w:rPr>
          <w:rFonts w:ascii="Times New Roman" w:hAnsi="Times New Roman" w:eastAsia="Times New Roman" w:cs="Times New Roman"/>
          <w:sz w:val="20"/>
          <w:szCs w:val="20"/>
        </w:rPr>
      </w:pPr>
    </w:p>
    <w:p w14:paraId="661CFF23">
      <w:pPr>
        <w:rPr>
          <w:rFonts w:ascii="Times New Roman" w:hAnsi="Times New Roman" w:eastAsia="Times New Roman" w:cs="Times New Roman"/>
          <w:sz w:val="20"/>
          <w:szCs w:val="20"/>
        </w:rPr>
      </w:pPr>
    </w:p>
    <w:p w14:paraId="28A96F20">
      <w:pPr>
        <w:rPr>
          <w:rFonts w:ascii="Times New Roman" w:hAnsi="Times New Roman" w:eastAsia="Times New Roman" w:cs="Times New Roman"/>
          <w:sz w:val="20"/>
          <w:szCs w:val="20"/>
        </w:rPr>
      </w:pPr>
    </w:p>
    <w:p w14:paraId="3572BC8C">
      <w:pPr>
        <w:rPr>
          <w:rFonts w:ascii="Times New Roman" w:hAnsi="Times New Roman" w:eastAsia="Times New Roman" w:cs="Times New Roman"/>
          <w:sz w:val="20"/>
          <w:szCs w:val="20"/>
        </w:rPr>
      </w:pPr>
    </w:p>
    <w:p w14:paraId="18A36833">
      <w:pPr>
        <w:rPr>
          <w:rFonts w:ascii="Times New Roman" w:hAnsi="Times New Roman" w:eastAsia="Times New Roman" w:cs="Times New Roman"/>
          <w:sz w:val="20"/>
          <w:szCs w:val="20"/>
        </w:rPr>
      </w:pPr>
    </w:p>
    <w:p w14:paraId="3F65666B">
      <w:pPr>
        <w:spacing w:before="10"/>
        <w:rPr>
          <w:rFonts w:ascii="Times New Roman" w:hAnsi="Times New Roman" w:eastAsia="Times New Roman" w:cs="Times New Roman"/>
          <w:sz w:val="18"/>
          <w:szCs w:val="18"/>
        </w:rPr>
      </w:pPr>
    </w:p>
    <w:p w14:paraId="28A67568">
      <w:pPr>
        <w:pStyle w:val="2"/>
        <w:jc w:val="center"/>
        <w:rPr>
          <w:rFonts w:hint="eastAsia" w:ascii="Times New Roman" w:hAnsi="Times New Roman" w:eastAsiaTheme="minorEastAsia"/>
          <w:sz w:val="36"/>
          <w:szCs w:val="36"/>
          <w:lang w:eastAsia="zh-CN"/>
        </w:rPr>
        <w:sectPr>
          <w:type w:val="continuous"/>
          <w:pgSz w:w="11910" w:h="16850"/>
          <w:pgMar w:top="1600" w:right="1680" w:bottom="280" w:left="1680" w:header="720" w:footer="720" w:gutter="0"/>
          <w:cols w:space="720" w:num="1"/>
        </w:sectPr>
      </w:pPr>
      <w:r>
        <w:rPr>
          <w:rFonts w:ascii="Times New Roman" w:hAnsi="Times New Roman"/>
          <w:sz w:val="36"/>
          <w:szCs w:val="36"/>
          <w:lang w:eastAsia="zh-CN"/>
        </w:rPr>
        <w:t>可变换功能空间采用灵活隔断的比例计算书</w:t>
      </w:r>
    </w:p>
    <w:p w14:paraId="1BF7C902">
      <w:pPr>
        <w:pStyle w:val="2"/>
        <w:rPr>
          <w:rFonts w:ascii="Times New Roman" w:hAnsi="Times New Roman" w:eastAsiaTheme="minorEastAsia"/>
          <w:sz w:val="32"/>
          <w:szCs w:val="32"/>
          <w:lang w:eastAsia="zh-CN"/>
        </w:rPr>
      </w:pPr>
      <w:r>
        <w:rPr>
          <w:rFonts w:hint="eastAsia" w:ascii="Times New Roman" w:hAnsi="Times New Roman" w:cs="Times New Roman"/>
          <w:sz w:val="32"/>
          <w:szCs w:val="32"/>
          <w:lang w:eastAsia="zh-CN"/>
        </w:rPr>
        <w:t>1.</w:t>
      </w:r>
      <w:r>
        <w:rPr>
          <w:rFonts w:hint="eastAsia" w:ascii="Times New Roman" w:hAnsi="Times New Roman"/>
          <w:sz w:val="32"/>
          <w:szCs w:val="32"/>
          <w:lang w:eastAsia="zh-CN"/>
        </w:rPr>
        <w:t>计算概述</w:t>
      </w:r>
    </w:p>
    <w:p w14:paraId="701D8530">
      <w:pPr>
        <w:pStyle w:val="2"/>
        <w:rPr>
          <w:rFonts w:hint="eastAsia" w:ascii="Times New Roman" w:hAnsi="Times New Roman" w:cs="Times New Roman" w:eastAsiaTheme="minorEastAsia"/>
          <w:lang w:eastAsia="zh-CN"/>
        </w:rPr>
      </w:pPr>
    </w:p>
    <w:p w14:paraId="72C33DD3">
      <w:pPr>
        <w:tabs>
          <w:tab w:val="left" w:pos="605"/>
        </w:tabs>
        <w:rPr>
          <w:rStyle w:val="8"/>
          <w:rFonts w:ascii="Times New Roman" w:hAnsi="Times New Roman"/>
          <w:sz w:val="28"/>
          <w:szCs w:val="28"/>
        </w:rPr>
      </w:pPr>
      <w:r>
        <w:rPr>
          <w:rStyle w:val="8"/>
          <w:rFonts w:hint="eastAsia" w:ascii="Times New Roman" w:hAnsi="Times New Roman"/>
          <w:sz w:val="28"/>
          <w:szCs w:val="28"/>
          <w:lang w:eastAsia="zh-CN"/>
        </w:rPr>
        <w:t>1.1.项目概况</w:t>
      </w:r>
    </w:p>
    <w:p w14:paraId="1AB419F9">
      <w:pPr>
        <w:tabs>
          <w:tab w:val="left" w:pos="605"/>
        </w:tabs>
        <w:rPr>
          <w:rFonts w:hint="eastAsia" w:ascii="Times New Roman" w:hAnsi="Times New Roman" w:eastAsia="Times New Roman" w:cs="Times New Roman"/>
          <w:sz w:val="20"/>
          <w:szCs w:val="20"/>
          <w:lang w:eastAsia="zh-CN"/>
        </w:rPr>
      </w:pPr>
    </w:p>
    <w:p w14:paraId="2221481B">
      <w:pPr>
        <w:tabs>
          <w:tab w:val="left" w:pos="605"/>
        </w:tabs>
        <w:spacing w:line="360" w:lineRule="auto"/>
        <w:ind w:firstLine="420" w:firstLineChars="200"/>
        <w:rPr>
          <w:rFonts w:ascii="Times New Roman" w:hAnsi="Times New Roman" w:cs="宋体"/>
          <w:sz w:val="21"/>
          <w:szCs w:val="21"/>
          <w:lang w:eastAsia="zh-CN"/>
        </w:rPr>
      </w:pPr>
      <w:r>
        <w:rPr>
          <w:rFonts w:hint="eastAsia" w:ascii="Times New Roman" w:hAnsi="Times New Roman" w:cs="宋体"/>
          <w:sz w:val="21"/>
          <w:szCs w:val="21"/>
          <w:lang w:eastAsia="zh-CN"/>
        </w:rPr>
        <w:t>本项目为“C-Life——工业遗存的光风智构与康养再生（攀枝花疗养院）”，选址位于四川省攀枝花市东区马鹿箐东路，地处攀枝花钒钛工业区内，项目用地面积27481.02平方米，总建筑面积为11304.5平方米，其中地上建筑面积11304.5平方米，地下建筑面积0平方米，建筑层数为地上4层，建筑高度18.00米。本项目为养老建筑（疗养院），结构形式为钢结构，按照三星级绿色建筑标准进行设计，并采用全装修交付。项目将闲置工业建筑改造为康养综合体，以回应工业遗产更新与老龄化社会双重挑战，核心理念为“风光智能驱动、零碳康养关怀”。</w:t>
      </w:r>
    </w:p>
    <w:p w14:paraId="4E42315E">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1.2.计算目的</w:t>
      </w:r>
    </w:p>
    <w:p w14:paraId="6B842805">
      <w:pPr>
        <w:tabs>
          <w:tab w:val="left" w:pos="605"/>
        </w:tabs>
        <w:rPr>
          <w:rStyle w:val="8"/>
          <w:rFonts w:hint="eastAsia" w:ascii="Times New Roman" w:hAnsi="Times New Roman"/>
          <w:sz w:val="28"/>
          <w:szCs w:val="28"/>
          <w:lang w:eastAsia="zh-CN"/>
        </w:rPr>
      </w:pPr>
    </w:p>
    <w:p w14:paraId="24285A4A">
      <w:pPr>
        <w:tabs>
          <w:tab w:val="left" w:pos="290"/>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判断本项目是否满足《绿色建筑评价标准》GB/T50378-2019第4.2.6条“采取提升建筑适变性的措施”。</w:t>
      </w:r>
    </w:p>
    <w:p w14:paraId="5A667AF8">
      <w:pPr>
        <w:tabs>
          <w:tab w:val="left" w:pos="290"/>
        </w:tabs>
        <w:spacing w:line="360" w:lineRule="auto"/>
        <w:ind w:firstLine="420" w:firstLineChars="200"/>
        <w:rPr>
          <w:rFonts w:ascii="Times New Roman" w:hAnsi="Times New Roman" w:cs="宋体"/>
          <w:sz w:val="21"/>
          <w:szCs w:val="21"/>
          <w:lang w:eastAsia="zh-CN"/>
        </w:rPr>
      </w:pPr>
    </w:p>
    <w:p w14:paraId="159A5AC2">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1.3.计算依据</w:t>
      </w:r>
    </w:p>
    <w:p w14:paraId="726DB7C1">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《绿色建筑评价技术细则》</w:t>
      </w:r>
    </w:p>
    <w:p w14:paraId="349D6E1E">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《绿色建筑评价技术细则补充说明》（规划设计部分）</w:t>
      </w:r>
      <w:r>
        <w:rPr>
          <w:rFonts w:hint="eastAsia" w:ascii="Times New Roman" w:hAnsi="Times New Roman" w:cs="宋体"/>
          <w:sz w:val="21"/>
          <w:szCs w:val="21"/>
          <w:lang w:eastAsia="zh-CN"/>
        </w:rPr>
        <w:t>可变换功能空间总计(㎡)</w:t>
      </w:r>
    </w:p>
    <w:p w14:paraId="266B577C">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2.计算分析</w:t>
      </w:r>
    </w:p>
    <w:p w14:paraId="40075ABB">
      <w:pPr>
        <w:pStyle w:val="2"/>
        <w:rPr>
          <w:rFonts w:hint="eastAsia" w:ascii="Times New Roman" w:hAnsi="Times New Roman" w:cs="Times New Roman" w:eastAsiaTheme="minorEastAsia"/>
          <w:sz w:val="32"/>
          <w:szCs w:val="32"/>
          <w:lang w:eastAsia="zh-CN"/>
        </w:rPr>
      </w:pPr>
    </w:p>
    <w:p w14:paraId="2017836D">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2.1.可变换功能的室内空间</w:t>
      </w:r>
    </w:p>
    <w:p w14:paraId="3E2D6317">
      <w:pPr>
        <w:tabs>
          <w:tab w:val="left" w:pos="605"/>
        </w:tabs>
        <w:rPr>
          <w:rStyle w:val="8"/>
          <w:rFonts w:hint="eastAsia" w:ascii="Times New Roman" w:hAnsi="Times New Roman"/>
          <w:sz w:val="28"/>
          <w:szCs w:val="28"/>
          <w:lang w:eastAsia="zh-CN"/>
        </w:rPr>
      </w:pPr>
    </w:p>
    <w:p w14:paraId="7C334083">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可变换功能的室内空间为在使用过程中可以根据需求进行功能调整的空间。本项目此类区域包括：</w:t>
      </w:r>
    </w:p>
    <w:p w14:paraId="30A31BEE">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每层中庭（灵活活动空间）</w:t>
      </w:r>
    </w:p>
    <w:p w14:paraId="34AB6F77">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观众厅（多功能活动厅）</w:t>
      </w:r>
    </w:p>
    <w:p w14:paraId="4E779FBD">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餐厅（食堂）</w:t>
      </w:r>
    </w:p>
    <w:p w14:paraId="70662213">
      <w:pPr>
        <w:tabs>
          <w:tab w:val="left" w:pos="605"/>
        </w:tabs>
        <w:spacing w:line="360" w:lineRule="auto"/>
        <w:ind w:firstLine="420" w:firstLineChars="200"/>
        <w:rPr>
          <w:rFonts w:ascii="Times New Roman" w:hAnsi="Times New Roman" w:cs="宋体"/>
          <w:sz w:val="21"/>
          <w:szCs w:val="21"/>
          <w:lang w:eastAsia="zh-CN"/>
        </w:rPr>
      </w:pPr>
      <w:r>
        <w:rPr>
          <w:rFonts w:hint="eastAsia" w:ascii="Times New Roman" w:hAnsi="Times New Roman" w:cs="宋体"/>
          <w:sz w:val="21"/>
          <w:szCs w:val="21"/>
          <w:lang w:eastAsia="zh-CN"/>
        </w:rPr>
        <w:t>以上空间在建筑设计上预留了功能转换的可能性，未设置固定隔断，便于未来根据使用需求进行调整。</w:t>
      </w:r>
      <w:r>
        <w:rPr>
          <w:rFonts w:ascii="Times New Roman" w:hAnsi="Times New Roman" w:cs="宋体"/>
          <w:sz w:val="21"/>
          <w:szCs w:val="21"/>
          <w:lang w:eastAsia="zh-CN"/>
        </w:rPr>
        <w:t>本项目此类区域面积如下表。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973"/>
        <w:gridCol w:w="1012"/>
        <w:gridCol w:w="1078"/>
        <w:gridCol w:w="1000"/>
      </w:tblGrid>
      <w:tr w14:paraId="3F67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vAlign w:val="center"/>
          </w:tcPr>
          <w:p w14:paraId="36F3FD4B">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9525</wp:posOffset>
                      </wp:positionV>
                      <wp:extent cx="1356995" cy="161925"/>
                      <wp:effectExtent l="0" t="0" r="0" b="0"/>
                      <wp:wrapNone/>
                      <wp:docPr id="1" name="自选图形 3"/>
                      <wp:cNvGraphicFramePr/>
                      <a:graphic xmlns:a="http://schemas.openxmlformats.org/drawingml/2006/main">
                        <a:graphicData uri="http://schemas.microsoft.com/office/word/2010/wordprocessingShape">
                          <wps:wsp>
                            <wps:cNvCnPr/>
                            <wps:spPr>
                              <a:xfrm>
                                <a:off x="0" y="0"/>
                                <a:ext cx="1356995" cy="1619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4.85pt;margin-top:0.75pt;height:12.75pt;width:106.85pt;z-index:251659264;mso-width-relative:page;mso-height-relative:page;" filled="f" stroked="t" coordsize="21600,21600" o:gfxdata="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tTzeXWAAAABwEAAA8AAAAAAAAAAQAgAAAAIgAAAGRycy9kb3ducmV2LnhtbFBL&#10;AQIUABQAAAAIAIdO4kAD/X7o+AEAAOgDAAAOAAAAAAAAAAEAIAAAACUBAABkcnMvZTJvRG9jLnht&#10;bFBLBQYAAAAABgAGAFkBAACPBQAAAAA=&#10;">
                      <v:fill on="f" focussize="0,0"/>
                      <v:stroke color="#000000" joinstyle="round"/>
                      <v:imagedata o:title=""/>
                      <o:lock v:ext="edit" aspectratio="f"/>
                    </v:shape>
                  </w:pict>
                </mc:Fallback>
              </mc:AlternateContent>
            </w:r>
          </w:p>
        </w:tc>
        <w:tc>
          <w:tcPr>
            <w:tcW w:w="973" w:type="dxa"/>
            <w:vAlign w:val="center"/>
          </w:tcPr>
          <w:p w14:paraId="24141431">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w:t>
            </w:r>
            <w:r>
              <w:rPr>
                <w:rFonts w:hint="eastAsia" w:ascii="Times New Roman" w:hAnsi="Times New Roman" w:cs="宋体"/>
                <w:sz w:val="21"/>
                <w:szCs w:val="21"/>
                <w:lang w:eastAsia="zh-CN"/>
              </w:rPr>
              <w:t>层</w:t>
            </w:r>
          </w:p>
        </w:tc>
        <w:tc>
          <w:tcPr>
            <w:tcW w:w="1012" w:type="dxa"/>
            <w:vAlign w:val="center"/>
          </w:tcPr>
          <w:p w14:paraId="0535078F">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2</w:t>
            </w:r>
            <w:r>
              <w:rPr>
                <w:rFonts w:hint="eastAsia" w:ascii="Times New Roman" w:hAnsi="Times New Roman" w:cs="宋体"/>
                <w:sz w:val="21"/>
                <w:szCs w:val="21"/>
                <w:lang w:eastAsia="zh-CN"/>
              </w:rPr>
              <w:t>层</w:t>
            </w:r>
          </w:p>
        </w:tc>
        <w:tc>
          <w:tcPr>
            <w:tcW w:w="1078" w:type="dxa"/>
            <w:vAlign w:val="center"/>
          </w:tcPr>
          <w:p w14:paraId="7783EAFA">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3</w:t>
            </w:r>
            <w:r>
              <w:rPr>
                <w:rFonts w:hint="eastAsia" w:ascii="Times New Roman" w:hAnsi="Times New Roman" w:cs="宋体"/>
                <w:sz w:val="21"/>
                <w:szCs w:val="21"/>
                <w:lang w:eastAsia="zh-CN"/>
              </w:rPr>
              <w:t>层</w:t>
            </w:r>
          </w:p>
        </w:tc>
        <w:tc>
          <w:tcPr>
            <w:tcW w:w="1000" w:type="dxa"/>
            <w:vAlign w:val="center"/>
          </w:tcPr>
          <w:p w14:paraId="1430E722">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4</w:t>
            </w:r>
            <w:r>
              <w:rPr>
                <w:rFonts w:hint="eastAsia" w:ascii="Times New Roman" w:hAnsi="Times New Roman" w:cs="宋体"/>
                <w:sz w:val="21"/>
                <w:szCs w:val="21"/>
                <w:lang w:eastAsia="zh-CN"/>
              </w:rPr>
              <w:t>层</w:t>
            </w:r>
          </w:p>
        </w:tc>
      </w:tr>
      <w:tr w14:paraId="64D1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06" w:type="dxa"/>
            <w:vAlign w:val="center"/>
          </w:tcPr>
          <w:p w14:paraId="59BAE73E">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建筑面积</w:t>
            </w:r>
            <w:r>
              <w:rPr>
                <w:rFonts w:ascii="Times New Roman" w:hAnsi="Times New Roman" w:cs="宋体"/>
                <w:sz w:val="21"/>
                <w:szCs w:val="21"/>
                <w:lang w:eastAsia="zh-CN"/>
              </w:rPr>
              <w:t>（</w:t>
            </w:r>
            <w:r>
              <w:rPr>
                <w:rFonts w:hint="eastAsia" w:ascii="Times New Roman" w:hAnsi="Times New Roman" w:cs="宋体"/>
                <w:sz w:val="21"/>
                <w:szCs w:val="21"/>
                <w:lang w:eastAsia="zh-CN"/>
              </w:rPr>
              <w:t>㎡</w:t>
            </w:r>
            <w:r>
              <w:rPr>
                <w:rFonts w:ascii="Times New Roman" w:hAnsi="Times New Roman" w:cs="宋体"/>
                <w:sz w:val="21"/>
                <w:szCs w:val="21"/>
                <w:lang w:eastAsia="zh-CN"/>
              </w:rPr>
              <w:t>）</w:t>
            </w:r>
          </w:p>
        </w:tc>
        <w:tc>
          <w:tcPr>
            <w:tcW w:w="973" w:type="dxa"/>
            <w:vAlign w:val="center"/>
          </w:tcPr>
          <w:p w14:paraId="4798AE6C">
            <w:pPr>
              <w:pStyle w:val="3"/>
              <w:keepNext w:val="0"/>
              <w:keepLines w:val="0"/>
              <w:widowControl/>
              <w:suppressLineNumbers w:val="0"/>
              <w:shd w:val="clear" w:fill="FFFFFF"/>
              <w:spacing w:before="240" w:beforeAutospacing="0" w:after="120" w:afterAutospacing="0" w:line="225" w:lineRule="atLeast"/>
              <w:ind w:left="0" w:right="0" w:firstLine="0"/>
              <w:jc w:val="center"/>
              <w:rPr>
                <w:rFonts w:hint="default" w:ascii="Times New Roman" w:hAnsi="Times New Roman" w:cs="宋体"/>
                <w:sz w:val="21"/>
                <w:szCs w:val="21"/>
                <w:lang w:val="en-US" w:eastAsia="zh-CN"/>
              </w:rPr>
            </w:pPr>
            <w:r>
              <w:rPr>
                <w:rFonts w:hint="default" w:ascii="Times New Roman" w:hAnsi="Times New Roman" w:cs="宋体" w:eastAsiaTheme="minorEastAsia"/>
                <w:b w:val="0"/>
                <w:bCs w:val="0"/>
                <w:kern w:val="0"/>
                <w:sz w:val="21"/>
                <w:szCs w:val="21"/>
                <w:lang w:val="en-US" w:eastAsia="zh-CN" w:bidi="ar-SA"/>
              </w:rPr>
              <w:t>2856.23</w:t>
            </w:r>
          </w:p>
        </w:tc>
        <w:tc>
          <w:tcPr>
            <w:tcW w:w="1012" w:type="dxa"/>
            <w:vAlign w:val="center"/>
          </w:tcPr>
          <w:p w14:paraId="0395BA26">
            <w:pPr>
              <w:pStyle w:val="3"/>
              <w:keepNext w:val="0"/>
              <w:keepLines w:val="0"/>
              <w:widowControl/>
              <w:suppressLineNumbers w:val="0"/>
              <w:shd w:val="clear" w:fill="FFFFFF"/>
              <w:spacing w:before="240" w:beforeAutospacing="0" w:after="120" w:afterAutospacing="0" w:line="225" w:lineRule="atLeast"/>
              <w:ind w:left="0" w:right="0" w:firstLine="0"/>
              <w:jc w:val="center"/>
              <w:rPr>
                <w:rFonts w:hint="eastAsia" w:ascii="Times New Roman" w:hAnsi="Times New Roman" w:cs="宋体" w:eastAsiaTheme="minorEastAsia"/>
                <w:b w:val="0"/>
                <w:bCs w:val="0"/>
                <w:kern w:val="0"/>
                <w:sz w:val="21"/>
                <w:szCs w:val="21"/>
                <w:lang w:val="en-US" w:eastAsia="zh-CN" w:bidi="ar-SA"/>
              </w:rPr>
            </w:pPr>
            <w:r>
              <w:rPr>
                <w:rFonts w:hint="default" w:ascii="Times New Roman" w:hAnsi="Times New Roman" w:cs="宋体" w:eastAsiaTheme="minorEastAsia"/>
                <w:b w:val="0"/>
                <w:bCs w:val="0"/>
                <w:kern w:val="0"/>
                <w:sz w:val="21"/>
                <w:szCs w:val="21"/>
                <w:lang w:val="en-US" w:eastAsia="zh-CN" w:bidi="ar-SA"/>
              </w:rPr>
              <w:t>2834.19</w:t>
            </w:r>
          </w:p>
        </w:tc>
        <w:tc>
          <w:tcPr>
            <w:tcW w:w="1078" w:type="dxa"/>
            <w:vAlign w:val="center"/>
          </w:tcPr>
          <w:p w14:paraId="280DA604">
            <w:pPr>
              <w:pStyle w:val="3"/>
              <w:keepNext w:val="0"/>
              <w:keepLines w:val="0"/>
              <w:widowControl/>
              <w:suppressLineNumbers w:val="0"/>
              <w:shd w:val="clear" w:fill="FFFFFF"/>
              <w:spacing w:before="240" w:beforeAutospacing="0" w:after="120" w:afterAutospacing="0" w:line="225" w:lineRule="atLeast"/>
              <w:ind w:left="0" w:right="0" w:firstLine="0"/>
              <w:jc w:val="center"/>
              <w:rPr>
                <w:rFonts w:hint="eastAsia" w:ascii="Times New Roman" w:hAnsi="Times New Roman" w:cs="宋体" w:eastAsiaTheme="minorEastAsia"/>
                <w:b w:val="0"/>
                <w:bCs w:val="0"/>
                <w:kern w:val="0"/>
                <w:sz w:val="21"/>
                <w:szCs w:val="21"/>
                <w:lang w:val="en-US" w:eastAsia="zh-CN" w:bidi="ar-SA"/>
              </w:rPr>
            </w:pPr>
            <w:r>
              <w:rPr>
                <w:rFonts w:hint="default" w:ascii="Times New Roman" w:hAnsi="Times New Roman" w:cs="宋体" w:eastAsiaTheme="minorEastAsia"/>
                <w:b w:val="0"/>
                <w:bCs w:val="0"/>
                <w:kern w:val="0"/>
                <w:sz w:val="21"/>
                <w:szCs w:val="21"/>
                <w:lang w:val="en-US" w:eastAsia="zh-CN" w:bidi="ar-SA"/>
              </w:rPr>
              <w:t>2543.21</w:t>
            </w:r>
          </w:p>
        </w:tc>
        <w:tc>
          <w:tcPr>
            <w:tcW w:w="1000" w:type="dxa"/>
            <w:vAlign w:val="center"/>
          </w:tcPr>
          <w:p w14:paraId="062044AC">
            <w:pPr>
              <w:pStyle w:val="3"/>
              <w:keepNext w:val="0"/>
              <w:keepLines w:val="0"/>
              <w:widowControl/>
              <w:suppressLineNumbers w:val="0"/>
              <w:shd w:val="clear" w:fill="FFFFFF"/>
              <w:spacing w:before="240" w:beforeAutospacing="0" w:after="120" w:afterAutospacing="0" w:line="225" w:lineRule="atLeast"/>
              <w:ind w:left="0" w:right="0" w:firstLine="0"/>
              <w:jc w:val="center"/>
              <w:rPr>
                <w:rFonts w:hint="eastAsia" w:ascii="Times New Roman" w:hAnsi="Times New Roman" w:cs="宋体" w:eastAsiaTheme="minorEastAsia"/>
                <w:b w:val="0"/>
                <w:bCs w:val="0"/>
                <w:kern w:val="0"/>
                <w:sz w:val="21"/>
                <w:szCs w:val="21"/>
                <w:lang w:val="en-US" w:eastAsia="zh-CN" w:bidi="ar-SA"/>
              </w:rPr>
            </w:pPr>
            <w:r>
              <w:rPr>
                <w:rFonts w:hint="default" w:ascii="Times New Roman" w:hAnsi="Times New Roman" w:cs="宋体" w:eastAsiaTheme="minorEastAsia"/>
                <w:b w:val="0"/>
                <w:bCs w:val="0"/>
                <w:kern w:val="0"/>
                <w:sz w:val="21"/>
                <w:szCs w:val="21"/>
                <w:lang w:val="en-US" w:eastAsia="zh-CN" w:bidi="ar-SA"/>
              </w:rPr>
              <w:t>1235.69</w:t>
            </w:r>
          </w:p>
        </w:tc>
      </w:tr>
      <w:tr w14:paraId="349E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vAlign w:val="center"/>
          </w:tcPr>
          <w:p w14:paraId="67B96FD5">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不可变换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w:t>
            </w:r>
          </w:p>
        </w:tc>
        <w:tc>
          <w:tcPr>
            <w:tcW w:w="973" w:type="dxa"/>
            <w:vAlign w:val="center"/>
          </w:tcPr>
          <w:p w14:paraId="7F45E8E4">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1111.94</w:t>
            </w:r>
          </w:p>
        </w:tc>
        <w:tc>
          <w:tcPr>
            <w:tcW w:w="1012" w:type="dxa"/>
            <w:vAlign w:val="center"/>
          </w:tcPr>
          <w:p w14:paraId="0AED50AB">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1483.9</w:t>
            </w:r>
          </w:p>
        </w:tc>
        <w:tc>
          <w:tcPr>
            <w:tcW w:w="1078" w:type="dxa"/>
            <w:vAlign w:val="center"/>
          </w:tcPr>
          <w:p w14:paraId="50334D60">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1268.92</w:t>
            </w:r>
          </w:p>
        </w:tc>
        <w:tc>
          <w:tcPr>
            <w:tcW w:w="1000" w:type="dxa"/>
            <w:vAlign w:val="center"/>
          </w:tcPr>
          <w:p w14:paraId="322D2A61">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1235.69</w:t>
            </w:r>
          </w:p>
        </w:tc>
      </w:tr>
      <w:tr w14:paraId="3D1D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vAlign w:val="center"/>
          </w:tcPr>
          <w:p w14:paraId="09F21488">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w:t>
            </w:r>
          </w:p>
        </w:tc>
        <w:tc>
          <w:tcPr>
            <w:tcW w:w="973" w:type="dxa"/>
            <w:vAlign w:val="center"/>
          </w:tcPr>
          <w:p w14:paraId="38E68C97">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1744.29</w:t>
            </w:r>
          </w:p>
        </w:tc>
        <w:tc>
          <w:tcPr>
            <w:tcW w:w="1012" w:type="dxa"/>
            <w:vAlign w:val="center"/>
          </w:tcPr>
          <w:p w14:paraId="7EAA1FCF">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1350.29</w:t>
            </w:r>
          </w:p>
        </w:tc>
        <w:tc>
          <w:tcPr>
            <w:tcW w:w="1078" w:type="dxa"/>
            <w:vAlign w:val="center"/>
          </w:tcPr>
          <w:p w14:paraId="3D61B554">
            <w:pPr>
              <w:tabs>
                <w:tab w:val="left" w:pos="605"/>
              </w:tabs>
              <w:spacing w:line="360" w:lineRule="auto"/>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1274.29</w:t>
            </w:r>
          </w:p>
        </w:tc>
        <w:tc>
          <w:tcPr>
            <w:tcW w:w="1000" w:type="dxa"/>
            <w:vAlign w:val="center"/>
          </w:tcPr>
          <w:p w14:paraId="04CAFF58">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0</w:t>
            </w:r>
          </w:p>
        </w:tc>
      </w:tr>
      <w:tr w14:paraId="6878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6" w:type="dxa"/>
            <w:vAlign w:val="center"/>
          </w:tcPr>
          <w:p w14:paraId="32800521">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总计(㎡)</w:t>
            </w:r>
          </w:p>
        </w:tc>
        <w:tc>
          <w:tcPr>
            <w:tcW w:w="4063" w:type="dxa"/>
            <w:gridSpan w:val="4"/>
            <w:vAlign w:val="center"/>
          </w:tcPr>
          <w:p w14:paraId="5F28E3DD">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4368.87</w:t>
            </w:r>
          </w:p>
        </w:tc>
      </w:tr>
    </w:tbl>
    <w:p w14:paraId="0694E6A3">
      <w:pPr>
        <w:tabs>
          <w:tab w:val="left" w:pos="605"/>
        </w:tabs>
        <w:spacing w:line="360" w:lineRule="auto"/>
        <w:ind w:firstLine="420" w:firstLineChars="200"/>
        <w:rPr>
          <w:rFonts w:hint="eastAsia" w:ascii="Times New Roman" w:hAnsi="Times New Roman" w:cs="宋体"/>
          <w:sz w:val="21"/>
          <w:szCs w:val="21"/>
          <w:lang w:eastAsia="zh-CN"/>
        </w:rPr>
      </w:pPr>
    </w:p>
    <w:p w14:paraId="112505C8">
      <w:pPr>
        <w:tabs>
          <w:tab w:val="left" w:pos="605"/>
        </w:tabs>
        <w:spacing w:line="360" w:lineRule="auto"/>
        <w:ind w:firstLine="420" w:firstLineChars="200"/>
        <w:rPr>
          <w:rFonts w:hint="eastAsia" w:ascii="Times New Roman" w:hAnsi="Times New Roman" w:cs="宋体"/>
          <w:sz w:val="21"/>
          <w:szCs w:val="21"/>
          <w:lang w:eastAsia="zh-CN"/>
        </w:rPr>
      </w:pPr>
    </w:p>
    <w:p w14:paraId="06DC5EB2">
      <w:pPr>
        <w:tabs>
          <w:tab w:val="left" w:pos="605"/>
        </w:tabs>
        <w:spacing w:line="360" w:lineRule="auto"/>
        <w:ind w:firstLine="420" w:firstLineChars="200"/>
        <w:rPr>
          <w:rFonts w:hint="eastAsia" w:ascii="Times New Roman" w:hAnsi="Times New Roman" w:cs="宋体"/>
          <w:sz w:val="21"/>
          <w:szCs w:val="21"/>
          <w:lang w:eastAsia="zh-CN"/>
        </w:rPr>
      </w:pPr>
    </w:p>
    <w:p w14:paraId="6B5A096D">
      <w:pPr>
        <w:tabs>
          <w:tab w:val="left" w:pos="605"/>
        </w:tabs>
        <w:spacing w:line="360" w:lineRule="auto"/>
        <w:ind w:firstLine="420" w:firstLineChars="200"/>
        <w:rPr>
          <w:rFonts w:hint="eastAsia" w:ascii="Times New Roman" w:hAnsi="Times New Roman" w:cs="宋体"/>
          <w:sz w:val="21"/>
          <w:szCs w:val="21"/>
          <w:lang w:eastAsia="zh-CN"/>
        </w:rPr>
      </w:pPr>
      <w:bookmarkStart w:id="0" w:name="_GoBack"/>
      <w:bookmarkEnd w:id="0"/>
      <w:r>
        <w:rPr>
          <w:rFonts w:hint="eastAsia" w:ascii="Times New Roman" w:hAnsi="Times New Roman" w:cs="宋体"/>
          <w:sz w:val="21"/>
          <w:szCs w:val="21"/>
          <w:lang w:eastAsia="zh-CN"/>
        </w:rPr>
        <w:t>数据来源说明：</w:t>
      </w:r>
    </w:p>
    <w:p w14:paraId="434B65FA">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各层建筑面积依据项目总平面及建筑设计方案统计。</w:t>
      </w:r>
    </w:p>
    <w:p w14:paraId="45293C86">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不可变换功能空间包括：公共走廊、楼梯间、电梯井、卫生间、设备用房、强弱电间、管井等，面积根据各层平面图统计得出。</w:t>
      </w:r>
    </w:p>
    <w:p w14:paraId="3FE331E3">
      <w:pPr>
        <w:tabs>
          <w:tab w:val="left" w:pos="605"/>
        </w:tabs>
        <w:spacing w:line="360" w:lineRule="auto"/>
        <w:ind w:firstLine="420" w:firstLineChars="200"/>
        <w:rPr>
          <w:rFonts w:ascii="Times New Roman" w:hAnsi="Times New Roman" w:cs="宋体"/>
          <w:sz w:val="21"/>
          <w:szCs w:val="21"/>
          <w:lang w:eastAsia="zh-CN"/>
        </w:rPr>
      </w:pPr>
      <w:r>
        <w:rPr>
          <w:rFonts w:hint="eastAsia" w:ascii="Times New Roman" w:hAnsi="Times New Roman" w:cs="宋体"/>
          <w:sz w:val="21"/>
          <w:szCs w:val="21"/>
          <w:lang w:eastAsia="zh-CN"/>
        </w:rPr>
        <w:t>可变换功能空间 = 建筑面积 - 不可变换功能空间。</w:t>
      </w:r>
    </w:p>
    <w:p w14:paraId="600EA8BF">
      <w:pPr>
        <w:tabs>
          <w:tab w:val="left" w:pos="605"/>
        </w:tabs>
        <w:spacing w:line="360" w:lineRule="auto"/>
        <w:ind w:firstLine="420" w:firstLineChars="200"/>
        <w:rPr>
          <w:rFonts w:ascii="Times New Roman" w:hAnsi="Times New Roman" w:cs="宋体"/>
          <w:sz w:val="21"/>
          <w:szCs w:val="21"/>
          <w:lang w:eastAsia="zh-CN"/>
        </w:rPr>
      </w:pPr>
    </w:p>
    <w:p w14:paraId="5AE1A922">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2.2.灵活隔断的室内空间</w:t>
      </w:r>
    </w:p>
    <w:p w14:paraId="3F351B4F">
      <w:pPr>
        <w:tabs>
          <w:tab w:val="left" w:pos="605"/>
        </w:tabs>
        <w:rPr>
          <w:rStyle w:val="8"/>
          <w:rFonts w:hint="eastAsia" w:ascii="Times New Roman" w:hAnsi="Times New Roman"/>
          <w:sz w:val="28"/>
          <w:szCs w:val="28"/>
          <w:lang w:eastAsia="zh-CN"/>
        </w:rPr>
      </w:pPr>
    </w:p>
    <w:p w14:paraId="7840E3DE">
      <w:pPr>
        <w:tabs>
          <w:tab w:val="left" w:pos="605"/>
        </w:tabs>
        <w:spacing w:line="360" w:lineRule="auto"/>
        <w:ind w:firstLine="420" w:firstLineChars="200"/>
        <w:rPr>
          <w:rFonts w:hint="eastAsia" w:ascii="Times New Roman" w:hAnsi="Times New Roman" w:cs="宋体"/>
          <w:sz w:val="21"/>
          <w:szCs w:val="21"/>
          <w:lang w:eastAsia="zh-CN"/>
        </w:rPr>
      </w:pPr>
      <w:r>
        <w:rPr>
          <w:rFonts w:hint="eastAsia" w:ascii="Times New Roman" w:hAnsi="Times New Roman" w:cs="宋体"/>
          <w:sz w:val="21"/>
          <w:szCs w:val="21"/>
          <w:lang w:eastAsia="zh-CN"/>
        </w:rPr>
        <w:t>本项目在可变换功能空间中，对部分空间采用了灵活隔断措施，包括：休闲娱乐空间（台球室、乒乓球室、健身房等）采用可移动隔断；茶室、商店采用玻璃隔断或可移动隔断；</w:t>
      </w:r>
    </w:p>
    <w:p w14:paraId="7B67EAF5">
      <w:pPr>
        <w:tabs>
          <w:tab w:val="left" w:pos="605"/>
        </w:tabs>
        <w:spacing w:line="360" w:lineRule="auto"/>
        <w:rPr>
          <w:rFonts w:ascii="Times New Roman" w:hAnsi="Times New Roman" w:cs="宋体"/>
          <w:sz w:val="21"/>
          <w:szCs w:val="21"/>
          <w:lang w:eastAsia="zh-CN"/>
        </w:rPr>
      </w:pPr>
      <w:r>
        <w:rPr>
          <w:rFonts w:hint="eastAsia" w:ascii="Times New Roman" w:hAnsi="Times New Roman" w:cs="宋体"/>
          <w:sz w:val="21"/>
          <w:szCs w:val="21"/>
          <w:lang w:eastAsia="zh-CN"/>
        </w:rPr>
        <w:t>中庭区域作为灵活活动空间，未设置固定隔断。</w:t>
      </w:r>
      <w:r>
        <w:rPr>
          <w:rFonts w:ascii="Times New Roman" w:hAnsi="Times New Roman" w:cs="宋体"/>
          <w:sz w:val="21"/>
          <w:szCs w:val="21"/>
          <w:lang w:eastAsia="zh-CN"/>
        </w:rPr>
        <w:t>采用灵活隔断的统计面积如下表。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709"/>
        <w:gridCol w:w="851"/>
        <w:gridCol w:w="708"/>
        <w:gridCol w:w="709"/>
      </w:tblGrid>
      <w:tr w14:paraId="3532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4C47DCB1">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楼号</w:t>
            </w:r>
          </w:p>
        </w:tc>
        <w:tc>
          <w:tcPr>
            <w:tcW w:w="709" w:type="dxa"/>
            <w:vAlign w:val="center"/>
          </w:tcPr>
          <w:p w14:paraId="2EAA5927">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w:t>
            </w:r>
            <w:r>
              <w:rPr>
                <w:rFonts w:hint="eastAsia" w:ascii="Times New Roman" w:hAnsi="Times New Roman" w:cs="宋体"/>
                <w:sz w:val="21"/>
                <w:szCs w:val="21"/>
                <w:lang w:eastAsia="zh-CN"/>
              </w:rPr>
              <w:t>层</w:t>
            </w:r>
          </w:p>
        </w:tc>
        <w:tc>
          <w:tcPr>
            <w:tcW w:w="851" w:type="dxa"/>
            <w:vAlign w:val="center"/>
          </w:tcPr>
          <w:p w14:paraId="6D751CB6">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2</w:t>
            </w:r>
            <w:r>
              <w:rPr>
                <w:rFonts w:hint="eastAsia" w:ascii="Times New Roman" w:hAnsi="Times New Roman" w:cs="宋体"/>
                <w:sz w:val="21"/>
                <w:szCs w:val="21"/>
                <w:lang w:eastAsia="zh-CN"/>
              </w:rPr>
              <w:t>层</w:t>
            </w:r>
          </w:p>
        </w:tc>
        <w:tc>
          <w:tcPr>
            <w:tcW w:w="708" w:type="dxa"/>
            <w:vAlign w:val="center"/>
          </w:tcPr>
          <w:p w14:paraId="2A2F8644">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3</w:t>
            </w:r>
            <w:r>
              <w:rPr>
                <w:rFonts w:hint="eastAsia" w:ascii="Times New Roman" w:hAnsi="Times New Roman" w:cs="宋体"/>
                <w:sz w:val="21"/>
                <w:szCs w:val="21"/>
                <w:lang w:eastAsia="zh-CN"/>
              </w:rPr>
              <w:t>层</w:t>
            </w:r>
          </w:p>
        </w:tc>
        <w:tc>
          <w:tcPr>
            <w:tcW w:w="709" w:type="dxa"/>
            <w:vAlign w:val="center"/>
          </w:tcPr>
          <w:p w14:paraId="328DA7AA">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4</w:t>
            </w:r>
            <w:r>
              <w:rPr>
                <w:rFonts w:hint="eastAsia" w:ascii="Times New Roman" w:hAnsi="Times New Roman" w:cs="宋体"/>
                <w:sz w:val="21"/>
                <w:szCs w:val="21"/>
                <w:lang w:eastAsia="zh-CN"/>
              </w:rPr>
              <w:t>层</w:t>
            </w:r>
          </w:p>
        </w:tc>
      </w:tr>
      <w:tr w14:paraId="4889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53F0D6B0">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采用</w:t>
            </w:r>
            <w:r>
              <w:rPr>
                <w:rFonts w:ascii="Times New Roman" w:hAnsi="Times New Roman" w:cs="宋体"/>
                <w:sz w:val="21"/>
                <w:szCs w:val="21"/>
                <w:lang w:eastAsia="zh-CN"/>
              </w:rPr>
              <w:t>灵活隔断的面积</w:t>
            </w:r>
            <w:r>
              <w:rPr>
                <w:rFonts w:hint="eastAsia" w:ascii="Times New Roman" w:hAnsi="Times New Roman" w:cs="宋体"/>
                <w:sz w:val="21"/>
                <w:szCs w:val="21"/>
                <w:lang w:eastAsia="zh-CN"/>
              </w:rPr>
              <w:t>(㎡)</w:t>
            </w:r>
          </w:p>
        </w:tc>
        <w:tc>
          <w:tcPr>
            <w:tcW w:w="709" w:type="dxa"/>
            <w:vAlign w:val="center"/>
          </w:tcPr>
          <w:p w14:paraId="3CBA373F">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800</w:t>
            </w:r>
          </w:p>
        </w:tc>
        <w:tc>
          <w:tcPr>
            <w:tcW w:w="851" w:type="dxa"/>
            <w:vAlign w:val="center"/>
          </w:tcPr>
          <w:p w14:paraId="3E6D172E">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1030</w:t>
            </w:r>
          </w:p>
        </w:tc>
        <w:tc>
          <w:tcPr>
            <w:tcW w:w="708" w:type="dxa"/>
            <w:vAlign w:val="center"/>
          </w:tcPr>
          <w:p w14:paraId="10FD4C57">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560</w:t>
            </w:r>
          </w:p>
        </w:tc>
        <w:tc>
          <w:tcPr>
            <w:tcW w:w="709" w:type="dxa"/>
            <w:vAlign w:val="center"/>
          </w:tcPr>
          <w:p w14:paraId="7A017358">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400</w:t>
            </w:r>
          </w:p>
        </w:tc>
      </w:tr>
      <w:tr w14:paraId="08D6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4B1229F8">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合计(㎡)</w:t>
            </w:r>
          </w:p>
        </w:tc>
        <w:tc>
          <w:tcPr>
            <w:tcW w:w="2977" w:type="dxa"/>
            <w:gridSpan w:val="4"/>
            <w:vAlign w:val="center"/>
          </w:tcPr>
          <w:p w14:paraId="73BF1863">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2790</w:t>
            </w:r>
          </w:p>
        </w:tc>
      </w:tr>
    </w:tbl>
    <w:p w14:paraId="2B81D189">
      <w:pPr>
        <w:tabs>
          <w:tab w:val="left" w:pos="605"/>
        </w:tabs>
        <w:rPr>
          <w:rStyle w:val="8"/>
          <w:rFonts w:ascii="Times New Roman" w:hAnsi="Times New Roman"/>
          <w:sz w:val="28"/>
          <w:szCs w:val="28"/>
          <w:lang w:eastAsia="zh-CN"/>
        </w:rPr>
      </w:pPr>
    </w:p>
    <w:p w14:paraId="36AFE88A">
      <w:pPr>
        <w:tabs>
          <w:tab w:val="left" w:pos="605"/>
        </w:tabs>
        <w:rPr>
          <w:rStyle w:val="8"/>
          <w:rFonts w:ascii="Times New Roman" w:hAnsi="Times New Roman"/>
          <w:sz w:val="28"/>
          <w:szCs w:val="28"/>
          <w:lang w:eastAsia="zh-CN"/>
        </w:rPr>
      </w:pPr>
      <w:r>
        <w:rPr>
          <w:rStyle w:val="8"/>
          <w:rFonts w:ascii="Times New Roman" w:hAnsi="Times New Roman"/>
          <w:sz w:val="28"/>
          <w:szCs w:val="28"/>
          <w:lang w:eastAsia="zh-CN"/>
        </w:rPr>
        <w:t>2.3.灵活隔断的面积比例</w:t>
      </w:r>
    </w:p>
    <w:p w14:paraId="605A5DCA">
      <w:pPr>
        <w:tabs>
          <w:tab w:val="left" w:pos="605"/>
        </w:tabs>
        <w:rPr>
          <w:rStyle w:val="8"/>
          <w:rFonts w:hint="eastAsia" w:ascii="Times New Roman" w:hAnsi="Times New Roman"/>
          <w:sz w:val="28"/>
          <w:szCs w:val="28"/>
          <w:lang w:eastAsia="zh-CN"/>
        </w:rPr>
      </w:pPr>
    </w:p>
    <w:p w14:paraId="46393125">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灵活隔断的面积比例=</w:t>
      </w:r>
      <w:r>
        <w:rPr>
          <w:rFonts w:hint="eastAsia" w:ascii="Times New Roman" w:hAnsi="Times New Roman" w:cs="宋体"/>
          <w:sz w:val="21"/>
          <w:szCs w:val="21"/>
          <w:lang w:val="en-US" w:eastAsia="zh-CN"/>
        </w:rPr>
        <w:t>2790</w:t>
      </w:r>
      <w:r>
        <w:rPr>
          <w:rFonts w:ascii="Times New Roman" w:hAnsi="Times New Roman" w:cs="宋体"/>
          <w:sz w:val="21"/>
          <w:szCs w:val="21"/>
          <w:lang w:eastAsia="zh-CN"/>
        </w:rPr>
        <w:t>/</w:t>
      </w:r>
      <w:r>
        <w:rPr>
          <w:rFonts w:hint="eastAsia" w:ascii="Times New Roman" w:hAnsi="Times New Roman" w:cs="宋体"/>
          <w:sz w:val="21"/>
          <w:szCs w:val="21"/>
          <w:lang w:val="en-US" w:eastAsia="zh-CN"/>
        </w:rPr>
        <w:t>4368.87</w:t>
      </w:r>
      <w:r>
        <w:rPr>
          <w:rFonts w:ascii="Times New Roman" w:hAnsi="Times New Roman" w:cs="宋体"/>
          <w:sz w:val="21"/>
          <w:szCs w:val="21"/>
          <w:lang w:eastAsia="zh-CN"/>
        </w:rPr>
        <w:t>×100%=</w:t>
      </w:r>
      <w:r>
        <w:rPr>
          <w:rFonts w:hint="eastAsia" w:ascii="Times New Roman" w:hAnsi="Times New Roman" w:cs="宋体"/>
          <w:sz w:val="21"/>
          <w:szCs w:val="21"/>
          <w:lang w:val="en-US" w:eastAsia="zh-CN"/>
        </w:rPr>
        <w:t>63.9</w:t>
      </w:r>
      <w:r>
        <w:rPr>
          <w:rFonts w:ascii="Times New Roman" w:hAnsi="Times New Roman" w:cs="宋体"/>
          <w:sz w:val="21"/>
          <w:szCs w:val="21"/>
          <w:lang w:eastAsia="zh-CN"/>
        </w:rPr>
        <w:t>%；</w:t>
      </w:r>
    </w:p>
    <w:p w14:paraId="1B35C515">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非灵活隔断的面积比例=1-</w:t>
      </w:r>
      <w:r>
        <w:rPr>
          <w:rFonts w:hint="eastAsia" w:ascii="Times New Roman" w:hAnsi="Times New Roman" w:cs="宋体"/>
          <w:sz w:val="21"/>
          <w:szCs w:val="21"/>
          <w:lang w:val="en-US" w:eastAsia="zh-CN"/>
        </w:rPr>
        <w:t>63.9</w:t>
      </w:r>
      <w:r>
        <w:rPr>
          <w:rFonts w:ascii="Times New Roman" w:hAnsi="Times New Roman" w:cs="宋体"/>
          <w:sz w:val="21"/>
          <w:szCs w:val="21"/>
          <w:lang w:eastAsia="zh-CN"/>
        </w:rPr>
        <w:t>%=3</w:t>
      </w:r>
      <w:r>
        <w:rPr>
          <w:rFonts w:hint="eastAsia" w:ascii="Times New Roman" w:hAnsi="Times New Roman" w:cs="宋体"/>
          <w:sz w:val="21"/>
          <w:szCs w:val="21"/>
          <w:lang w:val="en-US" w:eastAsia="zh-CN"/>
        </w:rPr>
        <w:t>6.1</w:t>
      </w:r>
      <w:r>
        <w:rPr>
          <w:rFonts w:ascii="Times New Roman" w:hAnsi="Times New Roman" w:cs="宋体"/>
          <w:sz w:val="21"/>
          <w:szCs w:val="21"/>
          <w:lang w:eastAsia="zh-CN"/>
        </w:rPr>
        <w:t>%。</w:t>
      </w:r>
    </w:p>
    <w:p w14:paraId="35C47654">
      <w:pPr>
        <w:tabs>
          <w:tab w:val="left" w:pos="605"/>
        </w:tabs>
        <w:spacing w:line="360" w:lineRule="auto"/>
        <w:ind w:firstLine="420" w:firstLineChars="200"/>
        <w:rPr>
          <w:rFonts w:ascii="Times New Roman" w:hAnsi="Times New Roman" w:cs="宋体"/>
          <w:sz w:val="21"/>
          <w:szCs w:val="21"/>
          <w:lang w:eastAsia="zh-CN"/>
        </w:rPr>
      </w:pPr>
    </w:p>
    <w:p w14:paraId="5185B809">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3.结论</w:t>
      </w:r>
    </w:p>
    <w:p w14:paraId="7EB9A556">
      <w:pPr>
        <w:pStyle w:val="2"/>
        <w:rPr>
          <w:rFonts w:hint="eastAsia" w:ascii="Times New Roman" w:hAnsi="Times New Roman" w:cs="Times New Roman" w:eastAsiaTheme="minorEastAsia"/>
          <w:sz w:val="32"/>
          <w:szCs w:val="32"/>
          <w:lang w:eastAsia="zh-CN"/>
        </w:rPr>
      </w:pPr>
    </w:p>
    <w:p w14:paraId="6BB1730B">
      <w:pPr>
        <w:tabs>
          <w:tab w:val="left" w:pos="605"/>
        </w:tabs>
        <w:spacing w:line="360" w:lineRule="auto"/>
        <w:ind w:firstLine="420" w:firstLineChars="200"/>
        <w:rPr>
          <w:rFonts w:hint="eastAsia" w:ascii="Times New Roman" w:hAnsi="Times New Roman" w:cs="宋体"/>
          <w:sz w:val="21"/>
          <w:szCs w:val="21"/>
          <w:lang w:eastAsia="zh-CN"/>
        </w:rPr>
      </w:pPr>
      <w:r>
        <w:rPr>
          <w:rFonts w:ascii="Times New Roman" w:hAnsi="Times New Roman" w:cs="宋体"/>
          <w:sz w:val="21"/>
          <w:szCs w:val="21"/>
          <w:lang w:eastAsia="zh-CN"/>
        </w:rPr>
        <w:t>针对《绿色建筑评价标准》GB50378-2019的第4.2.6</w:t>
      </w:r>
      <w:r>
        <w:rPr>
          <w:rFonts w:hint="eastAsia" w:ascii="Times New Roman" w:hAnsi="Times New Roman" w:cs="宋体"/>
          <w:sz w:val="21"/>
          <w:szCs w:val="21"/>
          <w:lang w:eastAsia="zh-CN"/>
        </w:rPr>
        <w:t>条</w:t>
      </w:r>
      <w:r>
        <w:rPr>
          <w:rFonts w:ascii="Times New Roman" w:hAnsi="Times New Roman" w:cs="宋体"/>
          <w:sz w:val="21"/>
          <w:szCs w:val="21"/>
          <w:lang w:eastAsia="zh-CN"/>
        </w:rPr>
        <w:t>“采取提升建筑适变性的措施，评价总分值为18分”</w:t>
      </w:r>
      <w:r>
        <w:rPr>
          <w:rFonts w:hint="eastAsia" w:ascii="Times New Roman" w:hAnsi="Times New Roman" w:cs="宋体"/>
          <w:sz w:val="21"/>
          <w:szCs w:val="21"/>
          <w:lang w:eastAsia="zh-CN"/>
        </w:rPr>
        <w:t>，</w:t>
      </w:r>
      <w:r>
        <w:rPr>
          <w:rFonts w:ascii="Times New Roman" w:hAnsi="Times New Roman" w:cs="宋体"/>
          <w:sz w:val="21"/>
          <w:szCs w:val="21"/>
          <w:lang w:eastAsia="zh-CN"/>
        </w:rPr>
        <w:t>满足第一点“采取通用开放、灵活可变的使用空间设计，或采取建筑使用功能可变措施，得7分”。该评分项可得7分。</w:t>
      </w:r>
    </w:p>
    <w:sectPr>
      <w:pgSz w:w="11910" w:h="16850"/>
      <w:pgMar w:top="14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34"/>
    <w:rsid w:val="00022519"/>
    <w:rsid w:val="00897ADE"/>
    <w:rsid w:val="00900B4A"/>
    <w:rsid w:val="00E40C34"/>
    <w:rsid w:val="3A1B4DE1"/>
    <w:rsid w:val="78D5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outlineLvl w:val="0"/>
    </w:pPr>
    <w:rPr>
      <w:rFonts w:ascii="Microsoft JhengHei" w:hAnsi="Microsoft JhengHei" w:eastAsia="Microsoft JhengHei"/>
      <w:b/>
      <w:bCs/>
      <w:sz w:val="28"/>
      <w:szCs w:val="2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8"/>
      <w:ind w:left="120"/>
    </w:pPr>
    <w:rPr>
      <w:rFonts w:ascii="宋体" w:hAnsi="宋体" w:eastAsia="宋体"/>
      <w:sz w:val="23"/>
      <w:szCs w:val="23"/>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C3A2E-A9D9-4CEE-89E0-DF0EBB613C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811</Words>
  <Characters>1046</Characters>
  <Lines>8</Lines>
  <Paragraphs>2</Paragraphs>
  <TotalTime>3</TotalTime>
  <ScaleCrop>false</ScaleCrop>
  <LinksUpToDate>false</LinksUpToDate>
  <CharactersWithSpaces>1046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2020-01-09T09:42:00Z</dcterms:created>
  <dc:creator>金晶</dc:creator>
  <cp:lastModifiedBy>向日葵</cp:lastModifiedBy>
  <dcterms:modified xsi:type="dcterms:W3CDTF">2026-03-26T18:27:42Z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2020-01-09T00:00:00Z</vt:filetime>
  </property>
  <property fmtid="{D5CDD505-2E9C-101B-9397-08002B2CF9AE}" pid="4" name="KSOTemplateDocerSaveRecord">
    <vt:lpwstr>eyJoZGlkIjoiM2MwNTQyNTQ4YjYyMWFmMDY0MDg5YmE1NzQ5OGU4YWUiLCJ1c2VySWQiOiI4OTc2MjQ0NzMifQ==</vt:lpwstr>
  </property>
  <property fmtid="{D5CDD505-2E9C-101B-9397-08002B2CF9AE}" pid="5" name="KSOProductBuildVer">
    <vt:lpwstr>2052-12.1.0.25225</vt:lpwstr>
  </property>
  <property fmtid="{D5CDD505-2E9C-101B-9397-08002B2CF9AE}" pid="6" name="ICV">
    <vt:lpwstr>F05B1709D69D46CEA270CB9E907E1C05_13</vt:lpwstr>
  </property>
</Properties>
</file>