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805A" w14:textId="77777777" w:rsidR="00A90EEE" w:rsidRPr="00A90EEE" w:rsidRDefault="00A90EEE" w:rsidP="00A90EEE">
      <w:pPr>
        <w:jc w:val="center"/>
        <w:rPr>
          <w:rFonts w:ascii="黑体" w:eastAsia="黑体" w:hAnsi="黑体" w:hint="eastAsia"/>
          <w:sz w:val="44"/>
          <w:szCs w:val="44"/>
        </w:rPr>
      </w:pPr>
      <w:r w:rsidRPr="00A90EEE">
        <w:rPr>
          <w:rFonts w:ascii="黑体" w:eastAsia="黑体" w:hAnsi="黑体" w:hint="eastAsia"/>
          <w:sz w:val="44"/>
          <w:szCs w:val="44"/>
        </w:rPr>
        <w:t>代际共栖·碳</w:t>
      </w:r>
      <w:proofErr w:type="gramStart"/>
      <w:r w:rsidRPr="00A90EEE">
        <w:rPr>
          <w:rFonts w:ascii="黑体" w:eastAsia="黑体" w:hAnsi="黑体" w:hint="eastAsia"/>
          <w:sz w:val="44"/>
          <w:szCs w:val="44"/>
        </w:rPr>
        <w:t>索未来</w:t>
      </w:r>
      <w:proofErr w:type="gramEnd"/>
      <w:r w:rsidRPr="00A90EEE">
        <w:rPr>
          <w:rFonts w:ascii="黑体" w:eastAsia="黑体" w:hAnsi="黑体" w:hint="eastAsia"/>
          <w:sz w:val="44"/>
          <w:szCs w:val="44"/>
        </w:rPr>
        <w:t>——面向未来的韧性共享空间结构规则性说明</w:t>
      </w:r>
    </w:p>
    <w:p w14:paraId="4AF889AE" w14:textId="24346679" w:rsidR="00A90EEE" w:rsidRPr="00A90EEE" w:rsidRDefault="00A90EEE" w:rsidP="00A90EEE">
      <w:pPr>
        <w:rPr>
          <w:rFonts w:ascii="黑体" w:eastAsia="黑体" w:hAnsi="黑体" w:hint="eastAsia"/>
          <w:sz w:val="32"/>
          <w:szCs w:val="32"/>
        </w:rPr>
      </w:pPr>
      <w:r w:rsidRPr="00A90EEE">
        <w:rPr>
          <w:rFonts w:ascii="黑体" w:eastAsia="黑体" w:hAnsi="黑体" w:hint="eastAsia"/>
          <w:sz w:val="32"/>
          <w:szCs w:val="32"/>
        </w:rPr>
        <w:t>一、整体布局规则性</w:t>
      </w:r>
    </w:p>
    <w:p w14:paraId="51E8800A" w14:textId="1F9E56AC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1.轴线与形体逻辑：项目采用正交网格为基础的柔性变形布局，主体建筑沿规整轴线排布，局部通过退台、悬挑形成层次变化，核心功能区保持对称与均衡，无明显形体突变，符合结构受力的规则性要求。</w:t>
      </w:r>
    </w:p>
    <w:p w14:paraId="5F84DBF1" w14:textId="186FBEB5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2.平面与功能分区：建筑平面以模块化功能单元为基础，沿轴线有序划分老年照料、儿童活动、社区共享等功能区，区域边界清晰且与结构轴线对齐，避免了无规则的功能穿插，保障了</w:t>
      </w:r>
      <w:proofErr w:type="gramStart"/>
      <w:r w:rsidRPr="00A90EEE">
        <w:rPr>
          <w:rFonts w:ascii="宋体" w:eastAsia="宋体" w:hAnsi="宋体" w:hint="eastAsia"/>
          <w:sz w:val="24"/>
        </w:rPr>
        <w:t>结构传力路径</w:t>
      </w:r>
      <w:proofErr w:type="gramEnd"/>
      <w:r w:rsidRPr="00A90EEE">
        <w:rPr>
          <w:rFonts w:ascii="宋体" w:eastAsia="宋体" w:hAnsi="宋体" w:hint="eastAsia"/>
          <w:sz w:val="24"/>
        </w:rPr>
        <w:t>的连续性。</w:t>
      </w:r>
    </w:p>
    <w:p w14:paraId="3F0C4845" w14:textId="53A7D52E" w:rsidR="00A90EEE" w:rsidRPr="00A90EEE" w:rsidRDefault="00A90EEE" w:rsidP="00A90EEE">
      <w:pPr>
        <w:rPr>
          <w:rFonts w:ascii="黑体" w:eastAsia="黑体" w:hAnsi="黑体" w:hint="eastAsia"/>
          <w:sz w:val="32"/>
          <w:szCs w:val="32"/>
        </w:rPr>
      </w:pPr>
      <w:r w:rsidRPr="00A90EEE">
        <w:rPr>
          <w:rFonts w:ascii="黑体" w:eastAsia="黑体" w:hAnsi="黑体" w:hint="eastAsia"/>
          <w:sz w:val="32"/>
          <w:szCs w:val="32"/>
        </w:rPr>
        <w:t>二、构件与单元划分规则性</w:t>
      </w:r>
    </w:p>
    <w:p w14:paraId="2DA54CA9" w14:textId="7B097153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1.竖向构件（柱网）：柱网采用统一</w:t>
      </w:r>
      <w:proofErr w:type="gramStart"/>
      <w:r w:rsidRPr="00A90EEE">
        <w:rPr>
          <w:rFonts w:ascii="宋体" w:eastAsia="宋体" w:hAnsi="宋体" w:hint="eastAsia"/>
          <w:sz w:val="24"/>
        </w:rPr>
        <w:t>模数化</w:t>
      </w:r>
      <w:proofErr w:type="gramEnd"/>
      <w:r w:rsidRPr="00A90EEE">
        <w:rPr>
          <w:rFonts w:ascii="宋体" w:eastAsia="宋体" w:hAnsi="宋体" w:hint="eastAsia"/>
          <w:sz w:val="24"/>
        </w:rPr>
        <w:t>布置，核心区域</w:t>
      </w:r>
      <w:proofErr w:type="gramStart"/>
      <w:r w:rsidRPr="00A90EEE">
        <w:rPr>
          <w:rFonts w:ascii="宋体" w:eastAsia="宋体" w:hAnsi="宋体" w:hint="eastAsia"/>
          <w:sz w:val="24"/>
        </w:rPr>
        <w:t>柱距保持</w:t>
      </w:r>
      <w:proofErr w:type="gramEnd"/>
      <w:r w:rsidRPr="00A90EEE">
        <w:rPr>
          <w:rFonts w:ascii="宋体" w:eastAsia="宋体" w:hAnsi="宋体" w:hint="eastAsia"/>
          <w:sz w:val="24"/>
        </w:rPr>
        <w:t>一致，局部因功能需求调整的柱</w:t>
      </w:r>
      <w:proofErr w:type="gramStart"/>
      <w:r w:rsidRPr="00A90EEE">
        <w:rPr>
          <w:rFonts w:ascii="宋体" w:eastAsia="宋体" w:hAnsi="宋体" w:hint="eastAsia"/>
          <w:sz w:val="24"/>
        </w:rPr>
        <w:t>网变化</w:t>
      </w:r>
      <w:proofErr w:type="gramEnd"/>
      <w:r w:rsidRPr="00A90EEE">
        <w:rPr>
          <w:rFonts w:ascii="宋体" w:eastAsia="宋体" w:hAnsi="宋体" w:hint="eastAsia"/>
          <w:sz w:val="24"/>
        </w:rPr>
        <w:t>均控制在合理范围内，无柱网疏密不均或错位现象，保证了竖向荷载传递的均匀性。</w:t>
      </w:r>
    </w:p>
    <w:p w14:paraId="397AC5F0" w14:textId="344D6D2C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2.水平构件（梁、板）：梁、板</w:t>
      </w:r>
      <w:proofErr w:type="gramStart"/>
      <w:r w:rsidRPr="00A90EEE">
        <w:rPr>
          <w:rFonts w:ascii="宋体" w:eastAsia="宋体" w:hAnsi="宋体" w:hint="eastAsia"/>
          <w:sz w:val="24"/>
        </w:rPr>
        <w:t>构件随柱网</w:t>
      </w:r>
      <w:proofErr w:type="gramEnd"/>
      <w:r w:rsidRPr="00A90EEE">
        <w:rPr>
          <w:rFonts w:ascii="宋体" w:eastAsia="宋体" w:hAnsi="宋体" w:hint="eastAsia"/>
          <w:sz w:val="24"/>
        </w:rPr>
        <w:t>形成规整的受力体系，楼板厚度与梁截面尺寸统一，同一楼层内构件规格一致，无随意变更截面的情况，符合水平构件受力的规则性设计原则。</w:t>
      </w:r>
    </w:p>
    <w:p w14:paraId="506957AD" w14:textId="77777777" w:rsidR="00A90EEE" w:rsidRPr="00A90EEE" w:rsidRDefault="00A90EEE" w:rsidP="00A90EEE">
      <w:pPr>
        <w:ind w:firstLineChars="200" w:firstLine="480"/>
        <w:rPr>
          <w:rFonts w:ascii="宋体" w:eastAsia="宋体" w:hAnsi="宋体"/>
          <w:sz w:val="24"/>
        </w:rPr>
      </w:pPr>
      <w:r w:rsidRPr="00A90EEE">
        <w:rPr>
          <w:rFonts w:ascii="宋体" w:eastAsia="宋体" w:hAnsi="宋体" w:hint="eastAsia"/>
          <w:sz w:val="24"/>
        </w:rPr>
        <w:t>3.模块化单元：建筑以标准模块为基本单元进行组合拼接，各模块的结构形式、构件尺寸、构造做法完全统一，模块间通过刚性连接形成整体，保障了结构的整体性与规则性。</w:t>
      </w:r>
    </w:p>
    <w:p w14:paraId="7E2040D9" w14:textId="705A39D3" w:rsidR="00A90EEE" w:rsidRPr="00A90EEE" w:rsidRDefault="00A90EEE" w:rsidP="00A90EEE">
      <w:pPr>
        <w:rPr>
          <w:rFonts w:ascii="黑体" w:eastAsia="黑体" w:hAnsi="黑体" w:hint="eastAsia"/>
          <w:sz w:val="32"/>
          <w:szCs w:val="32"/>
        </w:rPr>
      </w:pPr>
      <w:r w:rsidRPr="00A90EEE">
        <w:rPr>
          <w:rFonts w:ascii="黑体" w:eastAsia="黑体" w:hAnsi="黑体" w:hint="eastAsia"/>
          <w:sz w:val="32"/>
          <w:szCs w:val="32"/>
        </w:rPr>
        <w:t>三、构造与衔接规则性</w:t>
      </w:r>
    </w:p>
    <w:p w14:paraId="5104D1BE" w14:textId="1800C527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1.节点构造：梁-柱、板-梁等关键节点采用标准化刚性连接构造，节点处钢筋排布、构件搭接方式统一，符合结构力学与抗震设计的规则性要求，无任意更改节点构造的情况。</w:t>
      </w:r>
    </w:p>
    <w:p w14:paraId="40EF482E" w14:textId="70982974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2.新旧建筑衔接：项目涉及旧建筑改造，新旧结构之间通过**过渡性构件（如连梁、植筋节点）**实现平滑衔接，衔接区域的构件尺寸、强度渐变过渡，避免了结构刚度突变，保障了整体结构的规则性。</w:t>
      </w:r>
    </w:p>
    <w:p w14:paraId="36B0E49A" w14:textId="187B4180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3.绿色技术与结构整合：光伏屋面、雨水回收、地源热泵等绿色技术设施均依附于规整的结构体系布置，设备管线沿梁、柱、墙等构件有序敷设，未破坏结构受力的规则性与完整性。</w:t>
      </w:r>
    </w:p>
    <w:p w14:paraId="71FBE96C" w14:textId="6B82255D" w:rsidR="00A90EEE" w:rsidRPr="00A90EEE" w:rsidRDefault="00A90EEE" w:rsidP="00A90EEE">
      <w:pPr>
        <w:rPr>
          <w:rFonts w:ascii="黑体" w:eastAsia="黑体" w:hAnsi="黑体" w:hint="eastAsia"/>
          <w:sz w:val="32"/>
          <w:szCs w:val="32"/>
        </w:rPr>
      </w:pPr>
      <w:r w:rsidRPr="00A90EEE">
        <w:rPr>
          <w:rFonts w:ascii="黑体" w:eastAsia="黑体" w:hAnsi="黑体" w:hint="eastAsia"/>
          <w:sz w:val="32"/>
          <w:szCs w:val="32"/>
        </w:rPr>
        <w:lastRenderedPageBreak/>
        <w:t>四、抗震与韧性规则性</w:t>
      </w:r>
    </w:p>
    <w:p w14:paraId="174D635F" w14:textId="5D2CF616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1.抗侧力体系：建筑采用框架-剪力墙协同抗侧力体系，剪力墙沿轴线均匀分布，形成规整的抗侧力单元，无局部抗侧力构件缺失或集中布置的情况，符合抗震设计的规则性要求。</w:t>
      </w:r>
    </w:p>
    <w:p w14:paraId="0EE9E5B8" w14:textId="20E98076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2.</w:t>
      </w:r>
      <w:proofErr w:type="gramStart"/>
      <w:r w:rsidRPr="00A90EEE">
        <w:rPr>
          <w:rFonts w:ascii="宋体" w:eastAsia="宋体" w:hAnsi="宋体" w:hint="eastAsia"/>
          <w:sz w:val="24"/>
        </w:rPr>
        <w:t>平灾转换</w:t>
      </w:r>
      <w:proofErr w:type="gramEnd"/>
      <w:r w:rsidRPr="00A90EEE">
        <w:rPr>
          <w:rFonts w:ascii="宋体" w:eastAsia="宋体" w:hAnsi="宋体" w:hint="eastAsia"/>
          <w:sz w:val="24"/>
        </w:rPr>
        <w:t>韧性：在保持结构规则性的基础上，通过可变性构件设计（如可开合隔墙、模块化共享空间）实现</w:t>
      </w:r>
      <w:proofErr w:type="gramStart"/>
      <w:r w:rsidRPr="00A90EEE">
        <w:rPr>
          <w:rFonts w:ascii="宋体" w:eastAsia="宋体" w:hAnsi="宋体" w:hint="eastAsia"/>
          <w:sz w:val="24"/>
        </w:rPr>
        <w:t>平灾功能</w:t>
      </w:r>
      <w:proofErr w:type="gramEnd"/>
      <w:r w:rsidRPr="00A90EEE">
        <w:rPr>
          <w:rFonts w:ascii="宋体" w:eastAsia="宋体" w:hAnsi="宋体" w:hint="eastAsia"/>
          <w:sz w:val="24"/>
        </w:rPr>
        <w:t>转换，灾时可快速调整为应急避难、医疗救治等功能，同时不破坏结构的整体受力规则性。</w:t>
      </w:r>
    </w:p>
    <w:p w14:paraId="3019AA61" w14:textId="360BB308" w:rsidR="00A90EEE" w:rsidRPr="00A90EEE" w:rsidRDefault="00A90EEE" w:rsidP="00A90EEE">
      <w:pPr>
        <w:rPr>
          <w:rFonts w:ascii="黑体" w:eastAsia="黑体" w:hAnsi="黑体" w:hint="eastAsia"/>
          <w:sz w:val="32"/>
          <w:szCs w:val="32"/>
        </w:rPr>
      </w:pPr>
      <w:r w:rsidRPr="00A90EEE">
        <w:rPr>
          <w:rFonts w:ascii="黑体" w:eastAsia="黑体" w:hAnsi="黑体" w:hint="eastAsia"/>
          <w:sz w:val="32"/>
          <w:szCs w:val="32"/>
        </w:rPr>
        <w:t>五、判定结论</w:t>
      </w:r>
    </w:p>
    <w:p w14:paraId="4DAFD01C" w14:textId="45949624" w:rsidR="00A90EEE" w:rsidRPr="00A90EEE" w:rsidRDefault="00A90EEE" w:rsidP="00A90EEE">
      <w:pPr>
        <w:ind w:firstLineChars="200" w:firstLine="480"/>
        <w:rPr>
          <w:rFonts w:ascii="宋体" w:eastAsia="宋体" w:hAnsi="宋体" w:hint="eastAsia"/>
          <w:sz w:val="24"/>
        </w:rPr>
      </w:pPr>
      <w:r w:rsidRPr="00A90EEE">
        <w:rPr>
          <w:rFonts w:ascii="宋体" w:eastAsia="宋体" w:hAnsi="宋体" w:hint="eastAsia"/>
          <w:sz w:val="24"/>
        </w:rPr>
        <w:t>综合以上分析，本项目结构设计符合建筑结构规则性的核心要求：整体布局规整有序、构件单元模数统一、构造衔接标准化、抗侧力体系均匀合理，在满足代际共享、绿色低碳、韧性防灾等功能需求的同时，保障了结构受力的安全性与稳定性，无违反结构规则性的设计缺陷。</w:t>
      </w:r>
    </w:p>
    <w:sectPr w:rsidR="00A90EEE" w:rsidRPr="00A90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EE"/>
    <w:rsid w:val="0066077E"/>
    <w:rsid w:val="00A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A74A"/>
  <w15:chartTrackingRefBased/>
  <w15:docId w15:val="{5158FCB3-2F69-47D3-8863-3297D2B3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E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E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E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E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E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E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E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E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E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E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E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E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E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E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E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E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E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先堋 朱</dc:creator>
  <cp:keywords/>
  <dc:description/>
  <cp:lastModifiedBy>先堋 朱</cp:lastModifiedBy>
  <cp:revision>1</cp:revision>
  <dcterms:created xsi:type="dcterms:W3CDTF">2026-03-23T06:49:00Z</dcterms:created>
  <dcterms:modified xsi:type="dcterms:W3CDTF">2026-03-23T06:54:00Z</dcterms:modified>
</cp:coreProperties>
</file>